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126"/>
        <w:gridCol w:w="6951"/>
      </w:tblGrid>
      <w:tr w:rsidR="0094424E" w:rsidRPr="003042EC">
        <w:trPr>
          <w:jc w:val="center"/>
        </w:trPr>
        <w:tc>
          <w:tcPr>
            <w:tcW w:w="743" w:type="dxa"/>
          </w:tcPr>
          <w:p w:rsidR="0094424E" w:rsidRPr="008C0C99" w:rsidRDefault="00E268C2" w:rsidP="00383A31">
            <w:pPr>
              <w:spacing w:line="360" w:lineRule="auto"/>
              <w:jc w:val="both"/>
              <w:rPr>
                <w:rFonts w:ascii="David" w:hAnsi="David"/>
                <w:b/>
                <w:bCs/>
                <w:sz w:val="28"/>
                <w:szCs w:val="28"/>
                <w:rtl/>
              </w:rPr>
            </w:pPr>
            <w:bookmarkStart w:id="0" w:name="_GoBack"/>
            <w:bookmarkEnd w:id="0"/>
            <w:r w:rsidRPr="008C0C99">
              <w:rPr>
                <w:rFonts w:ascii="David" w:hAnsi="David"/>
                <w:b/>
                <w:bCs/>
                <w:sz w:val="28"/>
                <w:szCs w:val="28"/>
                <w:rtl/>
              </w:rPr>
              <w:t>ל</w:t>
            </w:r>
            <w:r w:rsidR="0094424E" w:rsidRPr="008C0C99">
              <w:rPr>
                <w:rFonts w:ascii="David" w:hAnsi="David"/>
                <w:b/>
                <w:bCs/>
                <w:sz w:val="28"/>
                <w:szCs w:val="28"/>
                <w:rtl/>
              </w:rPr>
              <w:t xml:space="preserve">פני </w:t>
            </w:r>
          </w:p>
        </w:tc>
        <w:tc>
          <w:tcPr>
            <w:tcW w:w="8077" w:type="dxa"/>
            <w:gridSpan w:val="2"/>
          </w:tcPr>
          <w:p w:rsidR="0094424E" w:rsidRPr="008C0C99" w:rsidRDefault="00D3471A" w:rsidP="00383A31">
            <w:pPr>
              <w:spacing w:line="360" w:lineRule="auto"/>
              <w:rPr>
                <w:rFonts w:ascii="David" w:hAnsi="David"/>
                <w:b/>
                <w:bCs/>
                <w:sz w:val="28"/>
                <w:szCs w:val="28"/>
                <w:rtl/>
              </w:rPr>
            </w:pPr>
            <w:r w:rsidRPr="008C0C99">
              <w:rPr>
                <w:rFonts w:ascii="David" w:hAnsi="David"/>
                <w:b/>
                <w:bCs/>
                <w:sz w:val="28"/>
                <w:szCs w:val="28"/>
                <w:rtl/>
              </w:rPr>
              <w:t xml:space="preserve">כב' </w:t>
            </w:r>
            <w:r w:rsidR="00F200F3" w:rsidRPr="008C0C99">
              <w:rPr>
                <w:rFonts w:ascii="David" w:hAnsi="David"/>
                <w:b/>
                <w:bCs/>
                <w:sz w:val="28"/>
                <w:szCs w:val="28"/>
                <w:rtl/>
              </w:rPr>
              <w:t>השופטת נגה שמואלי מאייר</w:t>
            </w:r>
            <w:r w:rsidR="003042EC" w:rsidRPr="008C0C99">
              <w:rPr>
                <w:rFonts w:ascii="David" w:hAnsi="David"/>
                <w:b/>
                <w:bCs/>
                <w:sz w:val="28"/>
                <w:szCs w:val="28"/>
                <w:rtl/>
              </w:rPr>
              <w:t>, סגנית נשיא</w:t>
            </w:r>
          </w:p>
          <w:p w:rsidR="008C0C99" w:rsidRPr="003042EC" w:rsidRDefault="008C0C99" w:rsidP="00383A31">
            <w:pPr>
              <w:spacing w:line="360" w:lineRule="auto"/>
              <w:rPr>
                <w:rFonts w:ascii="David" w:hAnsi="David"/>
                <w:highlight w:val="yellow"/>
              </w:rPr>
            </w:pPr>
          </w:p>
        </w:tc>
      </w:tr>
      <w:tr w:rsidR="0094424E" w:rsidRPr="008C0C99" w:rsidTr="00383A31">
        <w:trPr>
          <w:jc w:val="center"/>
        </w:trPr>
        <w:tc>
          <w:tcPr>
            <w:tcW w:w="1869" w:type="dxa"/>
            <w:gridSpan w:val="2"/>
          </w:tcPr>
          <w:p w:rsidR="0094424E" w:rsidRPr="008C0C99" w:rsidRDefault="00E640F8" w:rsidP="00383A31">
            <w:pPr>
              <w:spacing w:line="360" w:lineRule="auto"/>
              <w:rPr>
                <w:rFonts w:ascii="David" w:hAnsi="David"/>
                <w:b/>
                <w:bCs/>
                <w:sz w:val="26"/>
                <w:szCs w:val="26"/>
                <w:u w:val="single"/>
                <w:rtl/>
              </w:rPr>
            </w:pPr>
            <w:r w:rsidRPr="008C0C99">
              <w:rPr>
                <w:rFonts w:ascii="David" w:hAnsi="David"/>
                <w:b/>
                <w:bCs/>
                <w:sz w:val="26"/>
                <w:szCs w:val="26"/>
                <w:u w:val="single"/>
                <w:rtl/>
              </w:rPr>
              <w:t>המאשימה</w:t>
            </w:r>
          </w:p>
        </w:tc>
        <w:tc>
          <w:tcPr>
            <w:tcW w:w="6951" w:type="dxa"/>
          </w:tcPr>
          <w:p w:rsidR="0094424E" w:rsidRPr="008C0C99" w:rsidRDefault="00F827CA" w:rsidP="00383A31">
            <w:pPr>
              <w:spacing w:line="360" w:lineRule="auto"/>
              <w:rPr>
                <w:rFonts w:ascii="David" w:hAnsi="David"/>
                <w:b/>
                <w:bCs/>
                <w:sz w:val="26"/>
                <w:szCs w:val="26"/>
              </w:rPr>
            </w:pPr>
            <w:sdt>
              <w:sdtPr>
                <w:rPr>
                  <w:rFonts w:ascii="David" w:hAnsi="David"/>
                  <w:b/>
                  <w:bCs/>
                  <w:sz w:val="26"/>
                  <w:szCs w:val="26"/>
                  <w:rtl/>
                </w:rPr>
                <w:alias w:val="1478"/>
                <w:tag w:val="1478"/>
                <w:id w:val="-2076122985"/>
                <w:text w:multiLine="1"/>
              </w:sdtPr>
              <w:sdtEndPr/>
              <w:sdtContent>
                <w:r w:rsidR="00B72A4B" w:rsidRPr="008C0C99">
                  <w:rPr>
                    <w:rFonts w:ascii="David" w:hAnsi="David"/>
                    <w:b/>
                    <w:bCs/>
                    <w:sz w:val="26"/>
                    <w:szCs w:val="26"/>
                    <w:rtl/>
                  </w:rPr>
                  <w:t>מדינת ישראל</w:t>
                </w:r>
                <w:r w:rsidR="003042EC" w:rsidRPr="008C0C99">
                  <w:rPr>
                    <w:rFonts w:ascii="David" w:hAnsi="David"/>
                    <w:b/>
                    <w:bCs/>
                    <w:sz w:val="26"/>
                    <w:szCs w:val="26"/>
                    <w:rtl/>
                  </w:rPr>
                  <w:t xml:space="preserve"> – תביעות לכיש</w:t>
                </w:r>
                <w:r w:rsidR="003042EC" w:rsidRPr="008C0C99">
                  <w:rPr>
                    <w:rFonts w:ascii="David" w:hAnsi="David"/>
                    <w:b/>
                    <w:bCs/>
                    <w:sz w:val="26"/>
                    <w:szCs w:val="26"/>
                    <w:rtl/>
                  </w:rPr>
                  <w:br/>
                  <w:t>ע"י ב"כ עוה"ד עוה"ד ליטל נאווי, עוה"ד לימור כהן-גולן - נוכחות</w:t>
                </w:r>
              </w:sdtContent>
            </w:sdt>
          </w:p>
        </w:tc>
      </w:tr>
      <w:tr w:rsidR="0094424E" w:rsidRPr="008C0C99">
        <w:trPr>
          <w:jc w:val="center"/>
        </w:trPr>
        <w:tc>
          <w:tcPr>
            <w:tcW w:w="8820" w:type="dxa"/>
            <w:gridSpan w:val="3"/>
          </w:tcPr>
          <w:p w:rsidR="003042EC" w:rsidRPr="008C0C99" w:rsidRDefault="003042EC" w:rsidP="00383A31">
            <w:pPr>
              <w:spacing w:line="360" w:lineRule="auto"/>
              <w:jc w:val="center"/>
              <w:rPr>
                <w:rFonts w:ascii="David" w:hAnsi="David"/>
                <w:b/>
                <w:bCs/>
                <w:sz w:val="26"/>
                <w:szCs w:val="26"/>
                <w:rtl/>
              </w:rPr>
            </w:pPr>
          </w:p>
          <w:p w:rsidR="0094424E" w:rsidRPr="008C0C99" w:rsidRDefault="0094424E" w:rsidP="00383A31">
            <w:pPr>
              <w:spacing w:line="360" w:lineRule="auto"/>
              <w:jc w:val="center"/>
              <w:rPr>
                <w:rFonts w:ascii="David" w:hAnsi="David"/>
                <w:b/>
                <w:bCs/>
                <w:sz w:val="26"/>
                <w:szCs w:val="26"/>
                <w:rtl/>
              </w:rPr>
            </w:pPr>
            <w:r w:rsidRPr="008C0C99">
              <w:rPr>
                <w:rFonts w:ascii="David" w:hAnsi="David"/>
                <w:b/>
                <w:bCs/>
                <w:sz w:val="26"/>
                <w:szCs w:val="26"/>
                <w:rtl/>
              </w:rPr>
              <w:t>נ</w:t>
            </w:r>
            <w:r w:rsidR="003042EC" w:rsidRPr="008C0C99">
              <w:rPr>
                <w:rFonts w:ascii="David" w:hAnsi="David"/>
                <w:b/>
                <w:bCs/>
                <w:sz w:val="26"/>
                <w:szCs w:val="26"/>
                <w:rtl/>
              </w:rPr>
              <w:t xml:space="preserve"> </w:t>
            </w:r>
            <w:r w:rsidRPr="008C0C99">
              <w:rPr>
                <w:rFonts w:ascii="David" w:hAnsi="David"/>
                <w:b/>
                <w:bCs/>
                <w:sz w:val="26"/>
                <w:szCs w:val="26"/>
                <w:rtl/>
              </w:rPr>
              <w:t>ג</w:t>
            </w:r>
            <w:r w:rsidR="003042EC" w:rsidRPr="008C0C99">
              <w:rPr>
                <w:rFonts w:ascii="David" w:hAnsi="David"/>
                <w:b/>
                <w:bCs/>
                <w:sz w:val="26"/>
                <w:szCs w:val="26"/>
                <w:rtl/>
              </w:rPr>
              <w:t xml:space="preserve"> </w:t>
            </w:r>
            <w:r w:rsidRPr="008C0C99">
              <w:rPr>
                <w:rFonts w:ascii="David" w:hAnsi="David"/>
                <w:b/>
                <w:bCs/>
                <w:sz w:val="26"/>
                <w:szCs w:val="26"/>
                <w:rtl/>
              </w:rPr>
              <w:t>ד</w:t>
            </w:r>
          </w:p>
          <w:p w:rsidR="0094424E" w:rsidRPr="008C0C99" w:rsidRDefault="0094424E" w:rsidP="00383A31">
            <w:pPr>
              <w:spacing w:line="360" w:lineRule="auto"/>
              <w:rPr>
                <w:rFonts w:ascii="David" w:hAnsi="David"/>
                <w:b/>
                <w:bCs/>
                <w:sz w:val="26"/>
                <w:szCs w:val="26"/>
              </w:rPr>
            </w:pPr>
          </w:p>
        </w:tc>
      </w:tr>
      <w:tr w:rsidR="0094424E" w:rsidRPr="008C0C99" w:rsidTr="00383A31">
        <w:trPr>
          <w:jc w:val="center"/>
        </w:trPr>
        <w:tc>
          <w:tcPr>
            <w:tcW w:w="1869" w:type="dxa"/>
            <w:gridSpan w:val="2"/>
          </w:tcPr>
          <w:p w:rsidR="0094424E" w:rsidRPr="008C0C99" w:rsidRDefault="00E640F8" w:rsidP="00383A31">
            <w:pPr>
              <w:spacing w:line="360" w:lineRule="auto"/>
              <w:rPr>
                <w:rFonts w:ascii="David" w:hAnsi="David"/>
                <w:b/>
                <w:bCs/>
                <w:sz w:val="26"/>
                <w:szCs w:val="26"/>
                <w:u w:val="single"/>
              </w:rPr>
            </w:pPr>
            <w:r w:rsidRPr="008C0C99">
              <w:rPr>
                <w:rFonts w:ascii="David" w:hAnsi="David"/>
                <w:b/>
                <w:bCs/>
                <w:sz w:val="26"/>
                <w:szCs w:val="26"/>
                <w:u w:val="single"/>
                <w:rtl/>
              </w:rPr>
              <w:t>הנאשם</w:t>
            </w:r>
          </w:p>
        </w:tc>
        <w:tc>
          <w:tcPr>
            <w:tcW w:w="6951" w:type="dxa"/>
          </w:tcPr>
          <w:p w:rsidR="00EB5B49" w:rsidRPr="008C0C99" w:rsidRDefault="00F827CA" w:rsidP="00383A31">
            <w:pPr>
              <w:spacing w:line="360" w:lineRule="auto"/>
              <w:rPr>
                <w:rFonts w:ascii="David" w:hAnsi="David"/>
                <w:b/>
                <w:bCs/>
                <w:sz w:val="26"/>
                <w:szCs w:val="26"/>
                <w:rtl/>
              </w:rPr>
            </w:pPr>
            <w:sdt>
              <w:sdtPr>
                <w:rPr>
                  <w:rFonts w:ascii="David" w:hAnsi="David"/>
                  <w:b/>
                  <w:bCs/>
                  <w:sz w:val="26"/>
                  <w:szCs w:val="26"/>
                  <w:rtl/>
                </w:rPr>
                <w:alias w:val="1486"/>
                <w:tag w:val="1486"/>
                <w:id w:val="-309872140"/>
                <w:text w:multiLine="1"/>
              </w:sdtPr>
              <w:sdtEndPr/>
              <w:sdtContent>
                <w:r w:rsidR="00B72A4B" w:rsidRPr="008C0C99">
                  <w:rPr>
                    <w:rFonts w:ascii="David" w:hAnsi="David"/>
                    <w:b/>
                    <w:bCs/>
                    <w:sz w:val="26"/>
                    <w:szCs w:val="26"/>
                    <w:rtl/>
                  </w:rPr>
                  <w:t>זהר נס חסן</w:t>
                </w:r>
                <w:r w:rsidR="003042EC" w:rsidRPr="008C0C99">
                  <w:rPr>
                    <w:rFonts w:ascii="David" w:hAnsi="David"/>
                    <w:b/>
                    <w:bCs/>
                    <w:sz w:val="26"/>
                    <w:szCs w:val="26"/>
                    <w:rtl/>
                  </w:rPr>
                  <w:br/>
                  <w:t>ע"י ב"כ עוה"ד מיכה גבאי</w:t>
                </w:r>
              </w:sdtContent>
            </w:sdt>
          </w:p>
        </w:tc>
      </w:tr>
    </w:tbl>
    <w:p w:rsidR="0094424E" w:rsidRPr="008C0C99" w:rsidRDefault="0094424E" w:rsidP="00383A31">
      <w:pPr>
        <w:spacing w:line="360" w:lineRule="auto"/>
        <w:rPr>
          <w:rFonts w:ascii="David" w:hAnsi="David"/>
          <w:sz w:val="26"/>
          <w:szCs w:val="26"/>
          <w:rtl/>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3042EC">
        <w:trPr>
          <w:jc w:val="center"/>
        </w:trPr>
        <w:tc>
          <w:tcPr>
            <w:tcW w:w="8820" w:type="dxa"/>
          </w:tcPr>
          <w:p w:rsidR="00694556" w:rsidRPr="00383A31" w:rsidRDefault="00180519" w:rsidP="00383A31">
            <w:pPr>
              <w:bidi w:val="0"/>
              <w:spacing w:line="360" w:lineRule="auto"/>
              <w:jc w:val="center"/>
              <w:rPr>
                <w:rFonts w:ascii="David" w:hAnsi="David"/>
                <w:b/>
                <w:bCs/>
                <w:sz w:val="32"/>
                <w:szCs w:val="32"/>
                <w:u w:val="single"/>
              </w:rPr>
            </w:pPr>
            <w:r w:rsidRPr="00383A31">
              <w:rPr>
                <w:rFonts w:ascii="David" w:hAnsi="David"/>
                <w:b/>
                <w:bCs/>
                <w:sz w:val="32"/>
                <w:szCs w:val="32"/>
                <w:u w:val="single"/>
                <w:rtl/>
              </w:rPr>
              <w:t>החלטה</w:t>
            </w:r>
          </w:p>
        </w:tc>
      </w:tr>
    </w:tbl>
    <w:p w:rsidR="003042EC" w:rsidRDefault="003042EC" w:rsidP="00383A31">
      <w:pPr>
        <w:spacing w:line="360" w:lineRule="auto"/>
        <w:ind w:left="-58"/>
        <w:contextualSpacing/>
        <w:jc w:val="both"/>
        <w:rPr>
          <w:rFonts w:ascii="David" w:hAnsi="David"/>
          <w:rtl/>
        </w:rPr>
      </w:pPr>
      <w:bookmarkStart w:id="1" w:name="NGCSBookmark"/>
      <w:bookmarkStart w:id="2" w:name="ABSTRACT_START"/>
      <w:bookmarkEnd w:id="1"/>
      <w:bookmarkEnd w:id="2"/>
    </w:p>
    <w:p w:rsidR="003042EC" w:rsidRPr="003042EC" w:rsidRDefault="003042EC" w:rsidP="00383A31">
      <w:pPr>
        <w:spacing w:line="360" w:lineRule="auto"/>
        <w:ind w:left="-58"/>
        <w:contextualSpacing/>
        <w:jc w:val="both"/>
        <w:rPr>
          <w:rFonts w:ascii="David" w:hAnsi="David"/>
          <w:rtl/>
        </w:rPr>
      </w:pPr>
      <w:r w:rsidRPr="003042EC">
        <w:rPr>
          <w:rFonts w:ascii="David" w:hAnsi="David"/>
          <w:rtl/>
        </w:rPr>
        <w:t>האם יש מקום להיעתר לבקשת הנאשם ולהורות על ביטול האישום התלוי ועומד כנגדו עת לדידו התיק נסגר קודם לכן ונפתח מחדש שלא כדין וללא עילה ראויה ולמצער מחמת טענת ה'הגנה מן הצדק' לפי סעיף 149(10)</w:t>
      </w:r>
      <w:r w:rsidRPr="003042EC">
        <w:rPr>
          <w:rFonts w:ascii="David" w:hAnsi="David"/>
          <w:u w:val="single"/>
          <w:rtl/>
        </w:rPr>
        <w:t xml:space="preserve"> לחוק סדר הדין הפלילי</w:t>
      </w:r>
      <w:r w:rsidRPr="003042EC">
        <w:rPr>
          <w:rFonts w:ascii="David" w:hAnsi="David"/>
          <w:rtl/>
        </w:rPr>
        <w:t xml:space="preserve"> [נוסח משולב], התשמ"ב 1982 (להלן: "</w:t>
      </w:r>
      <w:r w:rsidRPr="003042EC">
        <w:rPr>
          <w:rFonts w:ascii="David" w:hAnsi="David"/>
          <w:b/>
          <w:bCs/>
          <w:u w:val="single"/>
          <w:rtl/>
        </w:rPr>
        <w:t>החסד"פ</w:t>
      </w:r>
      <w:r w:rsidRPr="003042EC">
        <w:rPr>
          <w:rFonts w:ascii="David" w:hAnsi="David"/>
          <w:rtl/>
        </w:rPr>
        <w:t xml:space="preserve">") – זו השאלה העומדת לפתחי. </w:t>
      </w:r>
    </w:p>
    <w:p w:rsidR="003042EC" w:rsidRPr="003042EC" w:rsidRDefault="003042EC" w:rsidP="00383A31">
      <w:pPr>
        <w:spacing w:line="360" w:lineRule="auto"/>
        <w:jc w:val="both"/>
        <w:rPr>
          <w:rFonts w:ascii="David" w:hAnsi="David"/>
          <w:rtl/>
        </w:rPr>
      </w:pPr>
    </w:p>
    <w:p w:rsidR="003042EC" w:rsidRPr="003042EC" w:rsidRDefault="003042EC" w:rsidP="00383A31">
      <w:pPr>
        <w:numPr>
          <w:ilvl w:val="0"/>
          <w:numId w:val="1"/>
        </w:numPr>
        <w:spacing w:line="360" w:lineRule="auto"/>
        <w:ind w:left="-58"/>
        <w:contextualSpacing/>
        <w:jc w:val="both"/>
        <w:rPr>
          <w:rFonts w:ascii="David" w:eastAsia="Calibri" w:hAnsi="David"/>
          <w:sz w:val="28"/>
          <w:szCs w:val="28"/>
          <w:u w:val="single"/>
          <w:rtl/>
        </w:rPr>
      </w:pPr>
      <w:bookmarkStart w:id="3" w:name="ABSTRACT_END"/>
      <w:bookmarkEnd w:id="3"/>
      <w:r>
        <w:rPr>
          <w:rFonts w:ascii="David" w:eastAsia="Calibri" w:hAnsi="David"/>
          <w:b/>
          <w:bCs/>
          <w:sz w:val="28"/>
          <w:szCs w:val="28"/>
          <w:u w:val="single"/>
          <w:rtl/>
        </w:rPr>
        <w:t>כתב האישום</w:t>
      </w:r>
    </w:p>
    <w:p w:rsidR="003042EC" w:rsidRPr="003042EC" w:rsidRDefault="003042EC" w:rsidP="00383A31">
      <w:pPr>
        <w:pStyle w:val="af1"/>
        <w:numPr>
          <w:ilvl w:val="0"/>
          <w:numId w:val="2"/>
        </w:numPr>
        <w:spacing w:line="360" w:lineRule="auto"/>
        <w:ind w:left="-58"/>
        <w:jc w:val="both"/>
        <w:rPr>
          <w:rFonts w:ascii="David" w:eastAsia="Calibri" w:hAnsi="David"/>
        </w:rPr>
      </w:pPr>
      <w:r w:rsidRPr="003042EC">
        <w:rPr>
          <w:rFonts w:ascii="David" w:eastAsia="Calibri" w:hAnsi="David"/>
          <w:rtl/>
        </w:rPr>
        <w:t xml:space="preserve">ביום 13.05.2021, הוגש כנגד הנאשם כתב אישום המייחס לו עבירה של </w:t>
      </w:r>
      <w:r w:rsidRPr="003042EC">
        <w:rPr>
          <w:rFonts w:ascii="David" w:eastAsia="Calibri" w:hAnsi="David"/>
          <w:b/>
          <w:bCs/>
          <w:rtl/>
        </w:rPr>
        <w:t>חבלה חמורה</w:t>
      </w:r>
      <w:r w:rsidRPr="003042EC">
        <w:rPr>
          <w:rFonts w:ascii="David" w:eastAsia="Calibri" w:hAnsi="David"/>
          <w:rtl/>
        </w:rPr>
        <w:t xml:space="preserve"> לפי סעיף 333 </w:t>
      </w:r>
      <w:r w:rsidRPr="003042EC">
        <w:rPr>
          <w:rFonts w:ascii="David" w:eastAsia="Calibri" w:hAnsi="David"/>
          <w:u w:val="single"/>
          <w:rtl/>
        </w:rPr>
        <w:t>לחוק העונשין, התשל"ז 1977</w:t>
      </w:r>
      <w:r w:rsidRPr="003042EC">
        <w:rPr>
          <w:rFonts w:ascii="David" w:eastAsia="Calibri" w:hAnsi="David"/>
          <w:rtl/>
        </w:rPr>
        <w:t xml:space="preserve"> (להלן: "</w:t>
      </w:r>
      <w:r w:rsidRPr="003042EC">
        <w:rPr>
          <w:rFonts w:ascii="David" w:eastAsia="Calibri" w:hAnsi="David"/>
          <w:b/>
          <w:bCs/>
          <w:u w:val="single"/>
          <w:rtl/>
        </w:rPr>
        <w:t>חוק העונשין</w:t>
      </w:r>
      <w:r w:rsidRPr="003042EC">
        <w:rPr>
          <w:rFonts w:ascii="David" w:eastAsia="Calibri" w:hAnsi="David"/>
          <w:rtl/>
        </w:rPr>
        <w:t>").</w:t>
      </w:r>
    </w:p>
    <w:p w:rsidR="003042EC" w:rsidRPr="003042EC" w:rsidRDefault="003042EC" w:rsidP="00383A31">
      <w:pPr>
        <w:numPr>
          <w:ilvl w:val="0"/>
          <w:numId w:val="2"/>
        </w:numPr>
        <w:spacing w:line="360" w:lineRule="auto"/>
        <w:ind w:left="-58" w:hanging="425"/>
        <w:contextualSpacing/>
        <w:jc w:val="both"/>
        <w:rPr>
          <w:rFonts w:ascii="David" w:eastAsia="Calibri" w:hAnsi="David"/>
          <w:rtl/>
        </w:rPr>
      </w:pPr>
      <w:r w:rsidRPr="003042EC">
        <w:rPr>
          <w:rFonts w:ascii="David" w:eastAsia="Calibri" w:hAnsi="David"/>
          <w:rtl/>
        </w:rPr>
        <w:t xml:space="preserve">על פי עובדות כתב האישום, ביום 26.09.2017, הגיע הנאשם למפעל 'שטייבל' באזור התעשייה עד הלום ופנה לקבלת שירות במשרד המפעל מבלי להבחין כי במקום ישנו תור. המתלונן העיר לנאשם על קיומו של תור במקום, ובתגובה לכך, השיב הנאשם למתלונן: "מי אתה, אני לא שואל אותך" ופנה לקבלת שירות במשרד. בהמשך לכך נטען, כי הנאשם ניגש למתלונן ודחף אותו בחוזקה באמצעות ידיו, המתלונן הועף אחורה, נפל על אדנית בטון ללא יכולת לזוז וכתוצאה מכך נגרמו לאחרון חבלות חמורות בדמות שברים בצלעות 9-11 בצדו השמאלי של גופו. </w:t>
      </w:r>
    </w:p>
    <w:p w:rsidR="003042EC" w:rsidRPr="003042EC" w:rsidRDefault="003042EC" w:rsidP="00383A31">
      <w:pPr>
        <w:spacing w:line="360" w:lineRule="auto"/>
        <w:ind w:left="-58"/>
        <w:contextualSpacing/>
        <w:jc w:val="both"/>
        <w:rPr>
          <w:rFonts w:ascii="David" w:eastAsia="Calibri" w:hAnsi="David"/>
          <w:u w:val="single"/>
        </w:rPr>
      </w:pPr>
    </w:p>
    <w:p w:rsidR="003042EC" w:rsidRPr="003042EC" w:rsidRDefault="003042EC" w:rsidP="00383A31">
      <w:pPr>
        <w:numPr>
          <w:ilvl w:val="0"/>
          <w:numId w:val="1"/>
        </w:numPr>
        <w:spacing w:line="360" w:lineRule="auto"/>
        <w:ind w:left="-58"/>
        <w:contextualSpacing/>
        <w:jc w:val="both"/>
        <w:rPr>
          <w:rFonts w:ascii="David" w:eastAsia="Calibri" w:hAnsi="David"/>
          <w:sz w:val="28"/>
          <w:szCs w:val="28"/>
          <w:u w:val="single"/>
        </w:rPr>
      </w:pPr>
      <w:r>
        <w:rPr>
          <w:rFonts w:ascii="David" w:eastAsia="Calibri" w:hAnsi="David"/>
          <w:b/>
          <w:bCs/>
          <w:sz w:val="28"/>
          <w:szCs w:val="28"/>
          <w:u w:val="single"/>
          <w:rtl/>
        </w:rPr>
        <w:t>רקע עובדתי (תמצית הדברים)</w:t>
      </w:r>
    </w:p>
    <w:p w:rsidR="003042EC" w:rsidRPr="003042EC" w:rsidRDefault="003042EC" w:rsidP="00383A31">
      <w:pPr>
        <w:pStyle w:val="af1"/>
        <w:numPr>
          <w:ilvl w:val="0"/>
          <w:numId w:val="2"/>
        </w:numPr>
        <w:spacing w:line="360" w:lineRule="auto"/>
        <w:ind w:left="-58"/>
        <w:jc w:val="both"/>
        <w:rPr>
          <w:rFonts w:ascii="David" w:eastAsia="Calibri" w:hAnsi="David"/>
          <w:b/>
          <w:bCs/>
          <w:rtl/>
        </w:rPr>
      </w:pPr>
      <w:r w:rsidRPr="003042EC">
        <w:rPr>
          <w:rFonts w:ascii="David" w:eastAsia="Calibri" w:hAnsi="David"/>
          <w:rtl/>
        </w:rPr>
        <w:t xml:space="preserve">ראשית אציין, כי בתיק זה התקיימו כמה דיונים בפני מותבים שונים והוגשו בקשות שונות עובר להעברתו לטיפולו של מותב זה, ולהלן אפרט את עיקרי הדברים שעלו בהם. </w:t>
      </w:r>
    </w:p>
    <w:p w:rsidR="003042EC" w:rsidRPr="003042EC" w:rsidRDefault="003042EC" w:rsidP="00383A31">
      <w:pPr>
        <w:pStyle w:val="af1"/>
        <w:numPr>
          <w:ilvl w:val="0"/>
          <w:numId w:val="2"/>
        </w:numPr>
        <w:spacing w:line="360" w:lineRule="auto"/>
        <w:ind w:left="-58"/>
        <w:jc w:val="both"/>
        <w:rPr>
          <w:rFonts w:ascii="David" w:eastAsia="Calibri" w:hAnsi="David"/>
          <w:b/>
          <w:bCs/>
        </w:rPr>
      </w:pPr>
      <w:r w:rsidRPr="003042EC">
        <w:rPr>
          <w:rFonts w:ascii="David" w:eastAsia="Calibri" w:hAnsi="David"/>
          <w:rtl/>
        </w:rPr>
        <w:lastRenderedPageBreak/>
        <w:t xml:space="preserve">בדיון שהתקיים בפני כב' השו' ט' לחיאני-שוהם ביום 12.09.2021, טענה ההגנה כי הנאשם התייצב לדיון לאחר שנמסר לו </w:t>
      </w:r>
      <w:r w:rsidRPr="003042EC">
        <w:rPr>
          <w:rFonts w:ascii="David" w:hAnsi="David"/>
          <w:rtl/>
        </w:rPr>
        <w:t>על</w:t>
      </w:r>
      <w:r w:rsidRPr="003042EC">
        <w:rPr>
          <w:rFonts w:ascii="David" w:eastAsia="Calibri" w:hAnsi="David"/>
          <w:vertAlign w:val="superscript"/>
          <w:rtl/>
        </w:rPr>
        <w:t>-</w:t>
      </w:r>
      <w:r w:rsidRPr="003042EC">
        <w:rPr>
          <w:rFonts w:ascii="David" w:eastAsia="Calibri" w:hAnsi="David"/>
          <w:rtl/>
        </w:rPr>
        <w:t xml:space="preserve">ידי המאשימה כי ההליכים כנגדו חודשו בעקבות ערר שהוגש כנגד ההחלטה על סגירת התיק, וכי עד לאותו המועד טרם קיבלה ההגנה לידיה העתק מהודעת הערר. </w:t>
      </w:r>
    </w:p>
    <w:p w:rsidR="003042EC" w:rsidRPr="003042EC" w:rsidRDefault="003042EC" w:rsidP="00383A31">
      <w:pPr>
        <w:pStyle w:val="af1"/>
        <w:numPr>
          <w:ilvl w:val="0"/>
          <w:numId w:val="2"/>
        </w:numPr>
        <w:spacing w:line="360" w:lineRule="auto"/>
        <w:ind w:left="-58"/>
        <w:jc w:val="both"/>
        <w:rPr>
          <w:rFonts w:ascii="David" w:eastAsia="Calibri" w:hAnsi="David"/>
        </w:rPr>
      </w:pPr>
      <w:r w:rsidRPr="003042EC">
        <w:rPr>
          <w:rFonts w:ascii="David" w:eastAsia="Calibri" w:hAnsi="David"/>
          <w:rtl/>
        </w:rPr>
        <w:t>בהחלטה שניתנה על ידי כב' השו' ט' לחיאני-שוהם בדיון שהתקיים לפניה ביום 09.01.2022, וחרף העובדה כי המאשימה טענה כי אין בידיה את תיק המקור (אלא אך "כפל תיק"),  הורה בית</w:t>
      </w:r>
      <w:r w:rsidRPr="003042EC">
        <w:rPr>
          <w:rFonts w:ascii="David" w:eastAsia="Calibri" w:hAnsi="David"/>
          <w:vertAlign w:val="superscript"/>
          <w:rtl/>
        </w:rPr>
        <w:t>-</w:t>
      </w:r>
      <w:r w:rsidRPr="003042EC">
        <w:rPr>
          <w:rFonts w:ascii="David" w:eastAsia="Calibri" w:hAnsi="David"/>
          <w:rtl/>
        </w:rPr>
        <w:t xml:space="preserve">המשפט כי על המאשימה להעביר לידי ההגנה בתוך 30 יום את נימוקי הערר ואת נימוקי ההחלטה לפתוח את התיק מחדש. </w:t>
      </w:r>
    </w:p>
    <w:p w:rsidR="003042EC" w:rsidRPr="003042EC" w:rsidRDefault="003042EC" w:rsidP="00383A31">
      <w:pPr>
        <w:pStyle w:val="af1"/>
        <w:numPr>
          <w:ilvl w:val="0"/>
          <w:numId w:val="2"/>
        </w:numPr>
        <w:spacing w:line="360" w:lineRule="auto"/>
        <w:ind w:left="-58" w:hanging="283"/>
        <w:jc w:val="both"/>
        <w:rPr>
          <w:rFonts w:ascii="David" w:eastAsia="Calibri" w:hAnsi="David"/>
          <w:rtl/>
        </w:rPr>
      </w:pPr>
      <w:r w:rsidRPr="003042EC">
        <w:rPr>
          <w:rFonts w:ascii="David" w:eastAsia="Calibri" w:hAnsi="David"/>
          <w:rtl/>
        </w:rPr>
        <w:t xml:space="preserve">ביום 10.02.2022, הגישה ההגנה לכב' השו' ט' לחיאני-שוהם בקשה עלי כתב לביטול כתב אישום מחמת טענת ה'הגנה מן הצדק', מהטעם שבחומר החקירה שצולם </w:t>
      </w:r>
      <w:r w:rsidRPr="003042EC">
        <w:rPr>
          <w:rFonts w:ascii="David" w:hAnsi="David"/>
          <w:rtl/>
        </w:rPr>
        <w:t>על</w:t>
      </w:r>
      <w:r w:rsidRPr="003042EC">
        <w:rPr>
          <w:rFonts w:ascii="David" w:eastAsia="Calibri" w:hAnsi="David"/>
          <w:vertAlign w:val="superscript"/>
          <w:rtl/>
        </w:rPr>
        <w:t>-</w:t>
      </w:r>
      <w:r w:rsidRPr="003042EC">
        <w:rPr>
          <w:rFonts w:ascii="David" w:eastAsia="Calibri" w:hAnsi="David"/>
          <w:rtl/>
        </w:rPr>
        <w:t xml:space="preserve">ידיה עוד ביום 07.06.2021, לא נמצאו חומרי חקירה מהותיים ובהם, העתק מהודעת הערר שהוגש </w:t>
      </w:r>
      <w:r w:rsidRPr="003042EC">
        <w:rPr>
          <w:rFonts w:ascii="David" w:hAnsi="David"/>
          <w:rtl/>
        </w:rPr>
        <w:t>על</w:t>
      </w:r>
      <w:r w:rsidRPr="003042EC">
        <w:rPr>
          <w:rFonts w:ascii="David" w:eastAsia="Calibri" w:hAnsi="David"/>
          <w:vertAlign w:val="superscript"/>
          <w:rtl/>
        </w:rPr>
        <w:t>-</w:t>
      </w:r>
      <w:r w:rsidRPr="003042EC">
        <w:rPr>
          <w:rFonts w:ascii="David" w:eastAsia="Calibri" w:hAnsi="David"/>
          <w:rtl/>
        </w:rPr>
        <w:t xml:space="preserve">ידי המתלונן על סגירת התיק;  והחלטת תובע והנימוקים לפתיחת התיק מחדש לאחר שהתיק נסגר </w:t>
      </w:r>
      <w:r w:rsidRPr="003042EC">
        <w:rPr>
          <w:rFonts w:ascii="David" w:hAnsi="David"/>
          <w:rtl/>
        </w:rPr>
        <w:t>על</w:t>
      </w:r>
      <w:r w:rsidRPr="003042EC">
        <w:rPr>
          <w:rFonts w:ascii="David" w:eastAsia="Calibri" w:hAnsi="David"/>
          <w:vertAlign w:val="superscript"/>
          <w:rtl/>
        </w:rPr>
        <w:t>-</w:t>
      </w:r>
      <w:r w:rsidRPr="003042EC">
        <w:rPr>
          <w:rFonts w:ascii="David" w:eastAsia="Calibri" w:hAnsi="David"/>
          <w:rtl/>
        </w:rPr>
        <w:t>ידי תחנת משטרת אשדוד בעילה של חוסר בראיות. עוד הטעימה ההגנה, כי חרף החלטת בית</w:t>
      </w:r>
      <w:r w:rsidRPr="003042EC">
        <w:rPr>
          <w:rFonts w:ascii="David" w:eastAsia="Calibri" w:hAnsi="David"/>
          <w:vertAlign w:val="superscript"/>
          <w:rtl/>
        </w:rPr>
        <w:t>-</w:t>
      </w:r>
      <w:r w:rsidRPr="003042EC">
        <w:rPr>
          <w:rFonts w:ascii="David" w:eastAsia="Calibri" w:hAnsi="David"/>
          <w:rtl/>
        </w:rPr>
        <w:t xml:space="preserve">המשפט נמנעה המאשימה מלהעביר לידי ההגנה את חומרי החקירה הנזכרים לעיל, ובמצב דברים זה לא ניתן להבטיח לנאשם קיומו של משפט הוגן והדבר עולה לשיטתה כדי התנהגות בלתי נסבלת ורשלנית מצד הרשות המצדיק את ביטולו של האישום התלוי ועומד כנגדו (בעניין זה הפנתה ההגנה לפסיקה רלוונטית: </w:t>
      </w:r>
      <w:r w:rsidRPr="003042EC">
        <w:rPr>
          <w:rFonts w:ascii="David" w:eastAsia="Calibri" w:hAnsi="David"/>
          <w:u w:val="single"/>
          <w:rtl/>
        </w:rPr>
        <w:t>ע"פ 2910/94</w:t>
      </w:r>
      <w:r w:rsidRPr="003042EC">
        <w:rPr>
          <w:rFonts w:ascii="David" w:eastAsia="Calibri" w:hAnsi="David"/>
          <w:rtl/>
        </w:rPr>
        <w:t xml:space="preserve"> </w:t>
      </w:r>
      <w:r w:rsidRPr="003042EC">
        <w:rPr>
          <w:rFonts w:ascii="David" w:eastAsia="Calibri" w:hAnsi="David"/>
          <w:b/>
          <w:bCs/>
          <w:rtl/>
        </w:rPr>
        <w:t>יפת נ' מדינת ישראל</w:t>
      </w:r>
      <w:r w:rsidRPr="003042EC">
        <w:rPr>
          <w:rFonts w:ascii="David" w:eastAsia="Calibri" w:hAnsi="David"/>
          <w:rtl/>
        </w:rPr>
        <w:t xml:space="preserve"> [פורסם בנבו] (28.02.1996), </w:t>
      </w:r>
      <w:r w:rsidRPr="003042EC">
        <w:rPr>
          <w:rFonts w:ascii="David" w:eastAsia="Calibri" w:hAnsi="David"/>
          <w:u w:val="single"/>
          <w:rtl/>
        </w:rPr>
        <w:t>ולע"פ 4855/02</w:t>
      </w:r>
      <w:r w:rsidRPr="003042EC">
        <w:rPr>
          <w:rFonts w:ascii="David" w:eastAsia="Calibri" w:hAnsi="David"/>
          <w:rtl/>
        </w:rPr>
        <w:t xml:space="preserve"> </w:t>
      </w:r>
      <w:r w:rsidRPr="003042EC">
        <w:rPr>
          <w:rFonts w:ascii="David" w:eastAsia="Calibri" w:hAnsi="David"/>
          <w:b/>
          <w:bCs/>
          <w:rtl/>
        </w:rPr>
        <w:t xml:space="preserve">מדינת ישראל נ' בורוביץ' </w:t>
      </w:r>
      <w:r w:rsidRPr="003042EC">
        <w:rPr>
          <w:rFonts w:ascii="David" w:eastAsia="Calibri" w:hAnsi="David"/>
          <w:rtl/>
        </w:rPr>
        <w:t>[פורסם בנבו] (31.03.2005), המרחיבה את גדרי טענת ה'ההגנה מן הצדק' (להלן: "</w:t>
      </w:r>
      <w:r w:rsidRPr="003042EC">
        <w:rPr>
          <w:rFonts w:ascii="David" w:eastAsia="Calibri" w:hAnsi="David"/>
          <w:b/>
          <w:bCs/>
          <w:rtl/>
        </w:rPr>
        <w:t>עניין בורוביץ</w:t>
      </w:r>
      <w:r w:rsidRPr="003042EC">
        <w:rPr>
          <w:rFonts w:ascii="David" w:eastAsia="Calibri" w:hAnsi="David"/>
          <w:rtl/>
        </w:rPr>
        <w:t xml:space="preserve">"). </w:t>
      </w:r>
    </w:p>
    <w:p w:rsidR="003042EC" w:rsidRPr="003042EC" w:rsidRDefault="003042EC" w:rsidP="00383A31">
      <w:pPr>
        <w:numPr>
          <w:ilvl w:val="0"/>
          <w:numId w:val="2"/>
        </w:numPr>
        <w:spacing w:line="360" w:lineRule="auto"/>
        <w:ind w:left="-58"/>
        <w:contextualSpacing/>
        <w:jc w:val="both"/>
        <w:rPr>
          <w:rFonts w:ascii="David" w:hAnsi="David"/>
        </w:rPr>
      </w:pPr>
      <w:r w:rsidRPr="003042EC">
        <w:rPr>
          <w:rFonts w:ascii="David" w:hAnsi="David"/>
          <w:rtl/>
        </w:rPr>
        <w:t xml:space="preserve">ביום 24.02.2022, הגיבה המאשימה לבקשה וטענה כי יש לדחות את בקשת ההגנה על הסף. בעניין זה הטעימה המאשימה, כי תיק החקירה לרבות המסמכים שבהם מבקשת ההגנה לעיין אמנם נמצאים כעת ברשותה, אך לשיטתה הם אינם בגדר 'חומר חקירה' כהגדרתו בסעיף 74 </w:t>
      </w:r>
      <w:r w:rsidRPr="003042EC">
        <w:rPr>
          <w:rFonts w:ascii="David" w:hAnsi="David"/>
          <w:u w:val="single"/>
          <w:rtl/>
        </w:rPr>
        <w:t>לחסד"פ</w:t>
      </w:r>
      <w:r w:rsidRPr="003042EC">
        <w:rPr>
          <w:rFonts w:ascii="David" w:hAnsi="David"/>
          <w:rtl/>
        </w:rPr>
        <w:t xml:space="preserve"> כי אם 'תרשומת פנימית' ומשכך, לא קמה להגנה זכות לעיין בהם. עוד ציינה המאשימה, כי גם הימנעותה מלהעביר את חומרי החקירה האמורים לידי ההגנה כמצוות </w:t>
      </w:r>
      <w:r w:rsidRPr="003042EC">
        <w:rPr>
          <w:rFonts w:ascii="David" w:eastAsia="Calibri" w:hAnsi="David"/>
          <w:rtl/>
        </w:rPr>
        <w:t>בית</w:t>
      </w:r>
      <w:r w:rsidRPr="003042EC">
        <w:rPr>
          <w:rFonts w:ascii="David" w:eastAsia="Calibri" w:hAnsi="David"/>
          <w:vertAlign w:val="superscript"/>
          <w:rtl/>
        </w:rPr>
        <w:t>-</w:t>
      </w:r>
      <w:r w:rsidRPr="003042EC">
        <w:rPr>
          <w:rFonts w:ascii="David" w:eastAsia="Calibri" w:hAnsi="David"/>
          <w:rtl/>
        </w:rPr>
        <w:t xml:space="preserve">המשפט, </w:t>
      </w:r>
      <w:r w:rsidRPr="003042EC">
        <w:rPr>
          <w:rFonts w:ascii="David" w:hAnsi="David"/>
          <w:rtl/>
        </w:rPr>
        <w:t xml:space="preserve">אין בה כדי להוביל מניה וביה לביטולו של כתב האישום. </w:t>
      </w:r>
    </w:p>
    <w:p w:rsidR="003042EC" w:rsidRPr="003042EC" w:rsidRDefault="003042EC" w:rsidP="00383A31">
      <w:pPr>
        <w:pStyle w:val="af1"/>
        <w:numPr>
          <w:ilvl w:val="0"/>
          <w:numId w:val="2"/>
        </w:numPr>
        <w:spacing w:line="360" w:lineRule="auto"/>
        <w:ind w:left="-58"/>
        <w:jc w:val="both"/>
        <w:rPr>
          <w:rFonts w:ascii="David" w:hAnsi="David"/>
        </w:rPr>
      </w:pPr>
      <w:r w:rsidRPr="003042EC">
        <w:rPr>
          <w:rFonts w:ascii="David" w:hAnsi="David"/>
          <w:rtl/>
        </w:rPr>
        <w:t xml:space="preserve">עוד הוסיפה המאשימה וטענה כי תיקון 51 </w:t>
      </w:r>
      <w:r w:rsidRPr="003042EC">
        <w:rPr>
          <w:rFonts w:ascii="David" w:hAnsi="David"/>
          <w:u w:val="single"/>
          <w:rtl/>
        </w:rPr>
        <w:t>לחסד"פ</w:t>
      </w:r>
      <w:r w:rsidRPr="003042EC">
        <w:rPr>
          <w:rFonts w:ascii="David" w:hAnsi="David"/>
          <w:rtl/>
        </w:rPr>
        <w:t xml:space="preserve"> מיום 21.05.2007, המעגן את דוקטרינת ה'הגנה מן הצדק' בהוראות </w:t>
      </w:r>
      <w:r w:rsidRPr="003042EC">
        <w:rPr>
          <w:rFonts w:ascii="David" w:hAnsi="David"/>
          <w:u w:val="single"/>
          <w:rtl/>
        </w:rPr>
        <w:t>החסד"פ,</w:t>
      </w:r>
      <w:r w:rsidRPr="003042EC">
        <w:rPr>
          <w:rFonts w:ascii="David" w:hAnsi="David"/>
          <w:rtl/>
        </w:rPr>
        <w:t xml:space="preserve"> מציין כי התיקון לא שינה את היקפה או תוכנה של ההגנה אלא רק עיגן את ההלכה הפסוקה בחוק. משכך, לדידה לא נפל כל פגם בהתנהלותה וגם אם יקבע אחרת, הרי שאין בפגם זה כדי לקבוע כי המדובר בפגיעה חריפה בתחושת הצדק וההגינות וישנם אמצעים חמורים פחות מביטולו של כתב האישום כדוגמת הגשת בקשה לקבלת חומרי חקירה לפי סעיף 74 </w:t>
      </w:r>
      <w:r w:rsidRPr="003042EC">
        <w:rPr>
          <w:rFonts w:ascii="David" w:hAnsi="David"/>
          <w:u w:val="single"/>
          <w:rtl/>
        </w:rPr>
        <w:t>לחסד"פ.</w:t>
      </w:r>
      <w:r w:rsidRPr="003042EC">
        <w:rPr>
          <w:rFonts w:ascii="David" w:hAnsi="David"/>
          <w:rtl/>
        </w:rPr>
        <w:t xml:space="preserve"> </w:t>
      </w:r>
    </w:p>
    <w:p w:rsidR="003042EC" w:rsidRPr="003042EC" w:rsidRDefault="003042EC" w:rsidP="00383A31">
      <w:pPr>
        <w:pStyle w:val="af1"/>
        <w:numPr>
          <w:ilvl w:val="0"/>
          <w:numId w:val="2"/>
        </w:numPr>
        <w:spacing w:line="360" w:lineRule="auto"/>
        <w:ind w:left="-58"/>
        <w:jc w:val="both"/>
        <w:rPr>
          <w:rFonts w:ascii="David" w:hAnsi="David"/>
          <w:rtl/>
        </w:rPr>
      </w:pPr>
      <w:r w:rsidRPr="003042EC">
        <w:rPr>
          <w:rFonts w:ascii="David" w:hAnsi="David"/>
          <w:rtl/>
        </w:rPr>
        <w:t>בסיכומם של דברים, ציינה המאשימה כי התביעה רשאית על</w:t>
      </w:r>
      <w:r w:rsidRPr="003042EC">
        <w:rPr>
          <w:rFonts w:ascii="David" w:eastAsia="Calibri" w:hAnsi="David"/>
          <w:vertAlign w:val="superscript"/>
          <w:rtl/>
        </w:rPr>
        <w:t>-</w:t>
      </w:r>
      <w:r w:rsidRPr="003042EC">
        <w:rPr>
          <w:rFonts w:ascii="David" w:eastAsia="Calibri" w:hAnsi="David"/>
          <w:rtl/>
        </w:rPr>
        <w:t xml:space="preserve">סמך </w:t>
      </w:r>
      <w:r w:rsidRPr="003042EC">
        <w:rPr>
          <w:rFonts w:ascii="David" w:hAnsi="David"/>
          <w:rtl/>
        </w:rPr>
        <w:t xml:space="preserve">הוראות החוק והפסיקה  לשוב ולפתוח תיק שנסגר, ובשעה שהודעה על כך נשלחה לנאשם – יש לדחות על הסף את בקשת ההגנה השמורה למקרים נדירים שבהם הגשת כתב אישום מחדש עולה לכדי התנהגות בלתי נסבלת מצד הרשות. בהמשך לכך נטען כי בעניין זה נדרש לפעול לפי המתווה התלת שלבי שהותווה </w:t>
      </w:r>
      <w:r w:rsidRPr="003042EC">
        <w:rPr>
          <w:rFonts w:ascii="David" w:hAnsi="David"/>
          <w:b/>
          <w:bCs/>
          <w:rtl/>
        </w:rPr>
        <w:t>בעניין בורוביץ'</w:t>
      </w:r>
      <w:r w:rsidRPr="003042EC">
        <w:rPr>
          <w:rFonts w:ascii="David" w:hAnsi="David"/>
          <w:rtl/>
        </w:rPr>
        <w:t xml:space="preserve"> </w:t>
      </w:r>
      <w:r w:rsidRPr="003042EC">
        <w:rPr>
          <w:rFonts w:ascii="David" w:hAnsi="David"/>
          <w:rtl/>
        </w:rPr>
        <w:lastRenderedPageBreak/>
        <w:t xml:space="preserve">לעיל, בטרם יחיל </w:t>
      </w:r>
      <w:r w:rsidRPr="003042EC">
        <w:rPr>
          <w:rFonts w:ascii="David" w:eastAsia="Calibri" w:hAnsi="David"/>
          <w:rtl/>
        </w:rPr>
        <w:t>בית</w:t>
      </w:r>
      <w:r w:rsidRPr="003042EC">
        <w:rPr>
          <w:rFonts w:ascii="David" w:eastAsia="Calibri" w:hAnsi="David"/>
          <w:vertAlign w:val="superscript"/>
          <w:rtl/>
        </w:rPr>
        <w:t>-</w:t>
      </w:r>
      <w:r w:rsidRPr="003042EC">
        <w:rPr>
          <w:rFonts w:ascii="David" w:eastAsia="Calibri" w:hAnsi="David"/>
          <w:rtl/>
        </w:rPr>
        <w:t xml:space="preserve">המשפט </w:t>
      </w:r>
      <w:r w:rsidRPr="003042EC">
        <w:rPr>
          <w:rFonts w:ascii="David" w:hAnsi="David"/>
          <w:rtl/>
        </w:rPr>
        <w:t xml:space="preserve">את טענת ה'הגנה מן הצדק' על המקרה המונח לפתחו וכי פסיעה במתווה האמור אינה מובילה להיעתרות לבקשה, אלא ההיפך הוא הנכון.  </w:t>
      </w:r>
    </w:p>
    <w:p w:rsidR="003042EC" w:rsidRPr="003042EC" w:rsidRDefault="003042EC" w:rsidP="00383A31">
      <w:pPr>
        <w:numPr>
          <w:ilvl w:val="0"/>
          <w:numId w:val="2"/>
        </w:numPr>
        <w:spacing w:line="360" w:lineRule="auto"/>
        <w:ind w:left="-58" w:hanging="425"/>
        <w:contextualSpacing/>
        <w:jc w:val="both"/>
        <w:rPr>
          <w:rFonts w:ascii="David" w:eastAsia="Calibri" w:hAnsi="David"/>
        </w:rPr>
      </w:pPr>
      <w:r w:rsidRPr="003042EC">
        <w:rPr>
          <w:rFonts w:ascii="David" w:eastAsia="Calibri" w:hAnsi="David"/>
          <w:rtl/>
        </w:rPr>
        <w:t xml:space="preserve">בהחלטה שניתנה </w:t>
      </w:r>
      <w:r w:rsidRPr="003042EC">
        <w:rPr>
          <w:rFonts w:ascii="David" w:hAnsi="David"/>
          <w:rtl/>
        </w:rPr>
        <w:t>על</w:t>
      </w:r>
      <w:r w:rsidRPr="003042EC">
        <w:rPr>
          <w:rFonts w:ascii="David" w:eastAsia="Calibri" w:hAnsi="David"/>
          <w:vertAlign w:val="superscript"/>
          <w:rtl/>
        </w:rPr>
        <w:t>-</w:t>
      </w:r>
      <w:r w:rsidRPr="003042EC">
        <w:rPr>
          <w:rFonts w:ascii="David" w:eastAsia="Calibri" w:hAnsi="David"/>
          <w:rtl/>
        </w:rPr>
        <w:t>ידי כב' השו' מ' חלפון-נזריאן בדיון שהתקיים לפניה ביום 19.04.2022, הורה בית</w:t>
      </w:r>
      <w:r w:rsidRPr="003042EC">
        <w:rPr>
          <w:rFonts w:ascii="David" w:eastAsia="Calibri" w:hAnsi="David"/>
          <w:vertAlign w:val="superscript"/>
          <w:rtl/>
        </w:rPr>
        <w:t>-</w:t>
      </w:r>
      <w:r w:rsidRPr="003042EC">
        <w:rPr>
          <w:rFonts w:ascii="David" w:eastAsia="Calibri" w:hAnsi="David"/>
          <w:rtl/>
        </w:rPr>
        <w:t xml:space="preserve">המשפט כי על המאשימה למסור לידי ההגנה את חומרי החקירה הנוגעים להשגת המתלונן על סגירת התיק ולהחלטת התובע לפתוח את התיק מחדש, שהינם בגדר חומרי חקירה במובהק. </w:t>
      </w:r>
    </w:p>
    <w:p w:rsidR="003042EC" w:rsidRPr="003042EC" w:rsidRDefault="003042EC" w:rsidP="00383A31">
      <w:pPr>
        <w:pStyle w:val="af1"/>
        <w:numPr>
          <w:ilvl w:val="0"/>
          <w:numId w:val="2"/>
        </w:numPr>
        <w:spacing w:line="360" w:lineRule="auto"/>
        <w:ind w:left="-58" w:hanging="425"/>
        <w:jc w:val="both"/>
        <w:rPr>
          <w:rFonts w:ascii="David" w:eastAsia="Calibri" w:hAnsi="David"/>
          <w:b/>
          <w:bCs/>
        </w:rPr>
      </w:pPr>
      <w:r w:rsidRPr="003042EC">
        <w:rPr>
          <w:rFonts w:ascii="David" w:eastAsia="Calibri" w:hAnsi="David"/>
          <w:rtl/>
        </w:rPr>
        <w:t xml:space="preserve">בהמשך לכך, ביום 11.12.2022, ציינה ההגנה בבקשתה לביטול כתב האישום שהוגשה עלי כתב כי לאחר הדיון שהתקיים לפני כב' השו' מ' חלפון-נזריאן ביום 10.04.2022, קיבלה ההגנה לידה את המסמכים הבאים: החלטתה של רפ"ק, עוה"ד רחלי חג'ג'-שמיר על קבלת הערר שהגיש המתלונן (נספח </w:t>
      </w:r>
      <w:r w:rsidRPr="003042EC">
        <w:rPr>
          <w:rFonts w:ascii="David" w:eastAsia="Calibri" w:hAnsi="David"/>
          <w:b/>
          <w:bCs/>
          <w:rtl/>
        </w:rPr>
        <w:t>ו1</w:t>
      </w:r>
      <w:r w:rsidRPr="003042EC">
        <w:rPr>
          <w:rFonts w:ascii="David" w:eastAsia="Calibri" w:hAnsi="David"/>
          <w:rtl/>
        </w:rPr>
        <w:t xml:space="preserve">); הודעה על פתיחת התיק מחדש (נספח </w:t>
      </w:r>
      <w:r w:rsidRPr="003042EC">
        <w:rPr>
          <w:rFonts w:ascii="David" w:eastAsia="Calibri" w:hAnsi="David"/>
          <w:b/>
          <w:bCs/>
          <w:rtl/>
        </w:rPr>
        <w:t>ו2</w:t>
      </w:r>
      <w:r w:rsidRPr="003042EC">
        <w:rPr>
          <w:rFonts w:ascii="David" w:eastAsia="Calibri" w:hAnsi="David"/>
          <w:rtl/>
        </w:rPr>
        <w:t xml:space="preserve">); מכתבו של בא כוח המתלונן עוה"ד מרדכי וסרטייל מיום 12.08.2020 (נספח </w:t>
      </w:r>
      <w:r w:rsidRPr="003042EC">
        <w:rPr>
          <w:rFonts w:ascii="David" w:eastAsia="Calibri" w:hAnsi="David"/>
          <w:b/>
          <w:bCs/>
          <w:rtl/>
        </w:rPr>
        <w:t>ז</w:t>
      </w:r>
      <w:r w:rsidRPr="003042EC">
        <w:rPr>
          <w:rFonts w:ascii="David" w:eastAsia="Calibri" w:hAnsi="David"/>
          <w:rtl/>
        </w:rPr>
        <w:t>); ואת תגובתה של רפ"ק, עוה"ד עדי פנחסי שבה הלה ציינה כי מכתבו של בא כוח המתלונן, הוא למעשה הודעת הערר (נספח</w:t>
      </w:r>
      <w:r w:rsidRPr="003042EC">
        <w:rPr>
          <w:rFonts w:ascii="David" w:eastAsia="Calibri" w:hAnsi="David"/>
          <w:b/>
          <w:bCs/>
          <w:rtl/>
        </w:rPr>
        <w:t xml:space="preserve"> ח</w:t>
      </w:r>
      <w:r w:rsidRPr="003042EC">
        <w:rPr>
          <w:rFonts w:ascii="David" w:eastAsia="Calibri" w:hAnsi="David"/>
          <w:rtl/>
        </w:rPr>
        <w:t>).</w:t>
      </w:r>
    </w:p>
    <w:p w:rsidR="003042EC" w:rsidRPr="003042EC" w:rsidRDefault="003042EC" w:rsidP="00383A31">
      <w:pPr>
        <w:pStyle w:val="af1"/>
        <w:numPr>
          <w:ilvl w:val="0"/>
          <w:numId w:val="2"/>
        </w:numPr>
        <w:spacing w:line="360" w:lineRule="auto"/>
        <w:ind w:left="-58" w:hanging="425"/>
        <w:jc w:val="both"/>
        <w:rPr>
          <w:rFonts w:ascii="David" w:eastAsia="Calibri" w:hAnsi="David"/>
          <w:b/>
          <w:bCs/>
        </w:rPr>
      </w:pPr>
      <w:r w:rsidRPr="003042EC">
        <w:rPr>
          <w:rFonts w:ascii="David" w:eastAsia="Calibri" w:hAnsi="David"/>
          <w:rtl/>
        </w:rPr>
        <w:t xml:space="preserve">בהמשך לכך, הוסיפה ההגנה והטעימה כי ביום 30.05.2022, שלחה ההגנה מכתב (נספח </w:t>
      </w:r>
      <w:r w:rsidRPr="003042EC">
        <w:rPr>
          <w:rFonts w:ascii="David" w:eastAsia="Calibri" w:hAnsi="David"/>
          <w:b/>
          <w:bCs/>
          <w:rtl/>
        </w:rPr>
        <w:t>ט</w:t>
      </w:r>
      <w:r w:rsidRPr="003042EC">
        <w:rPr>
          <w:rFonts w:ascii="David" w:eastAsia="Calibri" w:hAnsi="David"/>
          <w:rtl/>
        </w:rPr>
        <w:t xml:space="preserve">) למאשימה שבו היא ציינה בפניה כי פתיחת התיק שנסגר נעשתה ללא סמכות משלא קמו נסיבות חדשות ומבלי שהוגשה הודעת ערר כדין, וכי ביום 01.12.2022, נתקבלה תשובת המאשימה (עוה"ד עדי קרן), הדוחה את טענות ההגנה והמודיעה לה כי ההליכים בתיק זה ימשכו כסדרם (נספח </w:t>
      </w:r>
      <w:r w:rsidRPr="003042EC">
        <w:rPr>
          <w:rFonts w:ascii="David" w:eastAsia="Calibri" w:hAnsi="David"/>
          <w:b/>
          <w:bCs/>
          <w:rtl/>
        </w:rPr>
        <w:t>י</w:t>
      </w:r>
      <w:r w:rsidRPr="003042EC">
        <w:rPr>
          <w:rFonts w:ascii="David" w:eastAsia="Calibri" w:hAnsi="David"/>
          <w:rtl/>
        </w:rPr>
        <w:t>).</w:t>
      </w:r>
    </w:p>
    <w:p w:rsidR="003042EC" w:rsidRPr="003042EC" w:rsidRDefault="003042EC" w:rsidP="00383A31">
      <w:pPr>
        <w:pStyle w:val="af1"/>
        <w:numPr>
          <w:ilvl w:val="0"/>
          <w:numId w:val="2"/>
        </w:numPr>
        <w:spacing w:line="360" w:lineRule="auto"/>
        <w:ind w:left="-58" w:hanging="425"/>
        <w:jc w:val="both"/>
        <w:rPr>
          <w:rFonts w:ascii="David" w:eastAsia="Calibri" w:hAnsi="David"/>
        </w:rPr>
      </w:pPr>
      <w:r w:rsidRPr="003042EC">
        <w:rPr>
          <w:rFonts w:ascii="David" w:hAnsi="David"/>
          <w:rtl/>
        </w:rPr>
        <w:t>ההגנה הטעימה כי חרגה המאשימה מסמכותה עת החליטה על פתיחת התיק מחדש וכי נפלו פגמים בהתנהלותה של האחרונה הן בפן המהותי –</w:t>
      </w:r>
      <w:r w:rsidRPr="003042EC">
        <w:rPr>
          <w:rFonts w:ascii="David" w:eastAsia="Calibri" w:hAnsi="David"/>
          <w:rtl/>
        </w:rPr>
        <w:t xml:space="preserve"> </w:t>
      </w:r>
      <w:r w:rsidRPr="003042EC">
        <w:rPr>
          <w:rFonts w:ascii="David" w:hAnsi="David"/>
          <w:rtl/>
        </w:rPr>
        <w:t>משלא התגלו נסיבות חדשות שהצדיקו את פתיחת התיק ואת הגשתו מחדש של האישום והן בפן הפרוצדורלי</w:t>
      </w:r>
      <w:r w:rsidRPr="003042EC">
        <w:rPr>
          <w:rFonts w:ascii="David" w:eastAsia="Calibri" w:hAnsi="David"/>
          <w:rtl/>
        </w:rPr>
        <w:t xml:space="preserve"> – </w:t>
      </w:r>
      <w:r w:rsidRPr="003042EC">
        <w:rPr>
          <w:rFonts w:ascii="David" w:hAnsi="David"/>
          <w:rtl/>
        </w:rPr>
        <w:t xml:space="preserve">עת מכתבו של בא כוח המתלונן (ה'ערר') לא הוגש בהתאם לסד הזמנים הקבוע בחוק, קרי בתוך 60 יום לאחר שנמסרה ההודעה למתלונן על ההחלטה שלא להגיש כתב אישום, ועת המאשימה פעלה בניגוד לאמור בחוק הקובע כי בטרם קבלת הערר לגופו על הגורם המוסמך ליידע את הנאשם על הערר שהוגש וכי יכול ויוגש כנגדו כתב אישום, אלא אם כן החליט ראש השלוחה כי יש מניעה לכך. </w:t>
      </w:r>
    </w:p>
    <w:p w:rsidR="003042EC" w:rsidRPr="003042EC" w:rsidRDefault="003042EC" w:rsidP="00383A31">
      <w:pPr>
        <w:pStyle w:val="af1"/>
        <w:numPr>
          <w:ilvl w:val="0"/>
          <w:numId w:val="2"/>
        </w:numPr>
        <w:spacing w:line="360" w:lineRule="auto"/>
        <w:ind w:left="-58" w:hanging="425"/>
        <w:jc w:val="both"/>
        <w:rPr>
          <w:rFonts w:ascii="David" w:eastAsia="Calibri" w:hAnsi="David"/>
          <w:rtl/>
        </w:rPr>
      </w:pPr>
      <w:r w:rsidRPr="003042EC">
        <w:rPr>
          <w:rFonts w:ascii="David" w:eastAsia="Calibri" w:hAnsi="David"/>
          <w:rtl/>
        </w:rPr>
        <w:t>בסופם של דברים, התבקש בית</w:t>
      </w:r>
      <w:r w:rsidRPr="003042EC">
        <w:rPr>
          <w:rFonts w:ascii="David" w:eastAsia="Calibri" w:hAnsi="David"/>
          <w:vertAlign w:val="superscript"/>
          <w:rtl/>
        </w:rPr>
        <w:t>-</w:t>
      </w:r>
      <w:r w:rsidRPr="003042EC">
        <w:rPr>
          <w:rFonts w:ascii="David" w:eastAsia="Calibri" w:hAnsi="David"/>
          <w:rtl/>
        </w:rPr>
        <w:t xml:space="preserve">המשפט להיעתר לבקשת ההגנה ולהורות על ביטולו של האישום התלוי ועומד כנגד הנאשם בשל הפגמים הרבים שהתגלו במעשיה של התביעה המצדיקים היעתרות לבקשה ובהם, שהתיק הפלילי נפתח מחדש בחוסר סמכות </w:t>
      </w:r>
      <w:r w:rsidRPr="003042EC">
        <w:rPr>
          <w:rFonts w:ascii="David" w:hAnsi="David"/>
          <w:rtl/>
        </w:rPr>
        <w:t>בהעדר ראיות או נסיבות חדשות שהצדיקו את פתיחת התיק מחדש; לא הוגש כל ערר פורמאלי; מכתבו של בא כוח המתלונן שהוגש בשיהוי ובניגוד לסד הזמנים הקבוע בחוק; ההחלטה על פתיחת התיק מחדש שנעשתה בניגוד לחוק הדורש כי עובר להחלטה תמסר לנאשם הודעה על כך שהוגש ערר וכי יכול ויוגש כנגדו כתב אישום; וכי אין בנמצא כל החלטה של ראש השלוחה שלא להודיע על כך לנאשם</w:t>
      </w:r>
      <w:r w:rsidRPr="003042EC">
        <w:rPr>
          <w:rFonts w:ascii="David" w:eastAsia="Calibri" w:hAnsi="David"/>
          <w:rtl/>
        </w:rPr>
        <w:t xml:space="preserve">. למען שלמות התמונה יצוין, כי בהעדר תגובת המאשימה הגיש בא כוח הנאשם ביום 22.02.2023 את בקשתו פעם נוספת. </w:t>
      </w:r>
    </w:p>
    <w:p w:rsidR="003042EC" w:rsidRPr="003042EC" w:rsidRDefault="003042EC" w:rsidP="00383A31">
      <w:pPr>
        <w:pStyle w:val="af1"/>
        <w:numPr>
          <w:ilvl w:val="0"/>
          <w:numId w:val="2"/>
        </w:numPr>
        <w:spacing w:line="360" w:lineRule="auto"/>
        <w:ind w:left="-58" w:hanging="425"/>
        <w:jc w:val="both"/>
        <w:rPr>
          <w:rFonts w:ascii="David" w:eastAsia="Calibri" w:hAnsi="David"/>
          <w:rtl/>
        </w:rPr>
      </w:pPr>
      <w:r w:rsidRPr="003042EC">
        <w:rPr>
          <w:rFonts w:ascii="David" w:eastAsia="Calibri" w:hAnsi="David"/>
          <w:rtl/>
        </w:rPr>
        <w:t xml:space="preserve">בתגובתה מיום 13.03.2023, שבה המאשימה על עמדתה, לפיה יש לדחות את הבקשה על הסף. בתגובתה זו משרטטת המאשימה את לוחות הזמנים בתיק כדלקמן: ביום </w:t>
      </w:r>
      <w:r w:rsidRPr="003042EC">
        <w:rPr>
          <w:rFonts w:ascii="David" w:eastAsia="Calibri" w:hAnsi="David"/>
          <w:b/>
          <w:bCs/>
          <w:rtl/>
        </w:rPr>
        <w:t xml:space="preserve">17.03.2020 </w:t>
      </w:r>
      <w:r w:rsidRPr="003042EC">
        <w:rPr>
          <w:rFonts w:ascii="David" w:eastAsia="Calibri" w:hAnsi="David"/>
          <w:rtl/>
        </w:rPr>
        <w:t xml:space="preserve">התיק נסגר בעילה של העדר ראיות מספיקות; ביום </w:t>
      </w:r>
      <w:r w:rsidRPr="003042EC">
        <w:rPr>
          <w:rFonts w:ascii="David" w:eastAsia="Calibri" w:hAnsi="David"/>
          <w:b/>
          <w:bCs/>
          <w:rtl/>
        </w:rPr>
        <w:t>13.08.2020</w:t>
      </w:r>
      <w:r w:rsidRPr="003042EC">
        <w:rPr>
          <w:rFonts w:ascii="David" w:eastAsia="Calibri" w:hAnsi="David"/>
          <w:rtl/>
        </w:rPr>
        <w:t xml:space="preserve">, התקבל במשרדי המאשימה מכתב מאת בא כוח </w:t>
      </w:r>
      <w:r w:rsidRPr="003042EC">
        <w:rPr>
          <w:rFonts w:ascii="David" w:eastAsia="Calibri" w:hAnsi="David"/>
          <w:rtl/>
        </w:rPr>
        <w:lastRenderedPageBreak/>
        <w:t xml:space="preserve">המתלונן שבו הוא ציין כי הוא מבקש לקבל בהקדם לידיו את ההחלטה והנימוקים לסגירת התיק מאחר ומרשו אינו מוכן להשלים עם ההחלטה לסגור את התיק כנגד מי שתקף אותו וגרם לו לנכות גבוהה; במכתב נוסף שהתקבל במשרדי המאשימה מאת בא כוח המתלונן נרשם כי הלה הגיש כבר ביום </w:t>
      </w:r>
      <w:r w:rsidRPr="003042EC">
        <w:rPr>
          <w:rFonts w:ascii="David" w:eastAsia="Calibri" w:hAnsi="David"/>
          <w:b/>
          <w:bCs/>
          <w:rtl/>
        </w:rPr>
        <w:t>02.12.2020</w:t>
      </w:r>
      <w:r w:rsidRPr="003042EC">
        <w:rPr>
          <w:rFonts w:ascii="David" w:eastAsia="Calibri" w:hAnsi="David"/>
          <w:rtl/>
        </w:rPr>
        <w:t xml:space="preserve">, בשם מרשו </w:t>
      </w:r>
      <w:r w:rsidRPr="003042EC">
        <w:rPr>
          <w:rFonts w:ascii="David" w:eastAsia="Calibri" w:hAnsi="David"/>
          <w:b/>
          <w:bCs/>
          <w:rtl/>
        </w:rPr>
        <w:t xml:space="preserve">ערר </w:t>
      </w:r>
      <w:r w:rsidRPr="003042EC">
        <w:rPr>
          <w:rFonts w:ascii="David" w:eastAsia="Calibri" w:hAnsi="David"/>
          <w:rtl/>
        </w:rPr>
        <w:t xml:space="preserve">על החלטת שלוחת תביעות-לכיש שלא להגיש כתב אישום נגד התוקף; ביום </w:t>
      </w:r>
      <w:r w:rsidRPr="003042EC">
        <w:rPr>
          <w:rFonts w:ascii="David" w:eastAsia="Calibri" w:hAnsi="David"/>
          <w:b/>
          <w:bCs/>
          <w:rtl/>
        </w:rPr>
        <w:t>02.01.2021</w:t>
      </w:r>
      <w:r w:rsidRPr="003042EC">
        <w:rPr>
          <w:rFonts w:ascii="David" w:eastAsia="Calibri" w:hAnsi="David"/>
          <w:rtl/>
        </w:rPr>
        <w:t xml:space="preserve"> החליטה המאשימה על פתיחת התיק מחדש בעקבות הערר שהוגש על ידי המתלונן ואף נשלח לנאשם מכתב בזו הלשון: "ברצוני להודיע כי בעקבות ערר המתלונן הוחלט על פתחת התיק מחדש"; וכי בעקבות פתיחת התיק מחדש כתב האישום הוגש לבית המשפט ביום </w:t>
      </w:r>
      <w:r w:rsidRPr="003042EC">
        <w:rPr>
          <w:rFonts w:ascii="David" w:eastAsia="Calibri" w:hAnsi="David"/>
          <w:b/>
          <w:bCs/>
          <w:rtl/>
        </w:rPr>
        <w:t xml:space="preserve">13.05.2021. </w:t>
      </w:r>
    </w:p>
    <w:p w:rsidR="003042EC" w:rsidRDefault="003042EC" w:rsidP="00383A31">
      <w:pPr>
        <w:pStyle w:val="af1"/>
        <w:numPr>
          <w:ilvl w:val="0"/>
          <w:numId w:val="2"/>
        </w:numPr>
        <w:spacing w:line="360" w:lineRule="auto"/>
        <w:ind w:left="-58" w:hanging="425"/>
        <w:jc w:val="both"/>
        <w:rPr>
          <w:rFonts w:ascii="David" w:eastAsia="Calibri" w:hAnsi="David"/>
        </w:rPr>
      </w:pPr>
      <w:r w:rsidRPr="003042EC">
        <w:rPr>
          <w:rFonts w:ascii="David" w:eastAsia="Calibri" w:hAnsi="David"/>
          <w:rtl/>
        </w:rPr>
        <w:t xml:space="preserve">בנוסף לאלה הטעימה המאשימה כי לא נפל כל פגם בכתב האישום או בהתנהלותה וכי היא פעלה כדין ובסמכות עת החליטה לפתוח את התיק מחדש ולהגיש כנגד הנאשם כתב אישום מתוקף הסמכות המוקנית לה בחוק, וכי ככל רשות מנהלית מסורה לה הסמכות לשוב ולשקול את החלטתה פעם נוספת, בין ביוזמתה ובין על פי פנייה אליה; ההחלטה לפתוח את התיק מחדש אינה מותנית בהגשת ערר; וכי במקרה דנן התביעה שקלה את עמדתה בשנית בעקבות מכתבו של בא כוח המתלונן שאמנם לא נשא את הכותרת 'ערר' ואולם בפועל תוכן המכתב מלמד על השגתו של המתלונן על ההחלטה לסגירת התיק. </w:t>
      </w:r>
    </w:p>
    <w:p w:rsidR="003042EC" w:rsidRPr="003042EC" w:rsidRDefault="003042EC" w:rsidP="00383A31">
      <w:pPr>
        <w:pStyle w:val="af1"/>
        <w:numPr>
          <w:ilvl w:val="0"/>
          <w:numId w:val="2"/>
        </w:numPr>
        <w:spacing w:line="360" w:lineRule="auto"/>
        <w:ind w:left="-58" w:hanging="425"/>
        <w:jc w:val="both"/>
        <w:rPr>
          <w:rFonts w:ascii="David" w:eastAsia="Calibri" w:hAnsi="David"/>
        </w:rPr>
      </w:pPr>
      <w:r w:rsidRPr="003042EC">
        <w:rPr>
          <w:rFonts w:ascii="David" w:eastAsia="Calibri" w:hAnsi="David"/>
          <w:rtl/>
        </w:rPr>
        <w:t>בדיון שהתקיים לפניי ביום 22.05.2023, חזרו באי כוח הצדדים ב</w:t>
      </w:r>
      <w:r w:rsidRPr="003042EC">
        <w:rPr>
          <w:rFonts w:ascii="David" w:hAnsi="David"/>
          <w:rtl/>
        </w:rPr>
        <w:t>על</w:t>
      </w:r>
      <w:r w:rsidRPr="003042EC">
        <w:rPr>
          <w:rFonts w:ascii="David" w:eastAsia="Calibri" w:hAnsi="David"/>
          <w:vertAlign w:val="superscript"/>
          <w:rtl/>
        </w:rPr>
        <w:t>-</w:t>
      </w:r>
      <w:r w:rsidRPr="003042EC">
        <w:rPr>
          <w:rFonts w:ascii="David" w:eastAsia="Calibri" w:hAnsi="David"/>
          <w:rtl/>
        </w:rPr>
        <w:t xml:space="preserve">פה על עיקרי הדברים שהועלו על ידם עלי כתב. </w:t>
      </w:r>
    </w:p>
    <w:p w:rsidR="003042EC" w:rsidRPr="003042EC" w:rsidRDefault="003042EC" w:rsidP="00383A31">
      <w:pPr>
        <w:spacing w:line="360" w:lineRule="auto"/>
        <w:ind w:left="43"/>
        <w:contextualSpacing/>
        <w:jc w:val="both"/>
        <w:rPr>
          <w:rFonts w:ascii="David" w:eastAsia="Calibri" w:hAnsi="David"/>
        </w:rPr>
      </w:pPr>
    </w:p>
    <w:p w:rsidR="003042EC" w:rsidRPr="003042EC" w:rsidRDefault="003042EC" w:rsidP="00383A31">
      <w:pPr>
        <w:numPr>
          <w:ilvl w:val="0"/>
          <w:numId w:val="1"/>
        </w:numPr>
        <w:spacing w:line="360" w:lineRule="auto"/>
        <w:ind w:left="43" w:hanging="425"/>
        <w:contextualSpacing/>
        <w:jc w:val="both"/>
        <w:rPr>
          <w:rFonts w:ascii="David" w:eastAsia="Calibri" w:hAnsi="David"/>
          <w:b/>
          <w:bCs/>
          <w:sz w:val="28"/>
          <w:szCs w:val="28"/>
          <w:u w:val="single"/>
        </w:rPr>
      </w:pPr>
      <w:r w:rsidRPr="003042EC">
        <w:rPr>
          <w:rFonts w:ascii="David" w:eastAsia="Calibri" w:hAnsi="David"/>
          <w:b/>
          <w:bCs/>
          <w:sz w:val="28"/>
          <w:szCs w:val="28"/>
          <w:u w:val="single"/>
          <w:rtl/>
        </w:rPr>
        <w:t xml:space="preserve">טיעוני הצדדים (עיקרי הדברים) </w:t>
      </w:r>
    </w:p>
    <w:p w:rsidR="003042EC" w:rsidRPr="003042EC" w:rsidRDefault="003042EC" w:rsidP="00383A31">
      <w:pPr>
        <w:numPr>
          <w:ilvl w:val="0"/>
          <w:numId w:val="2"/>
        </w:numPr>
        <w:spacing w:line="360" w:lineRule="auto"/>
        <w:ind w:left="84" w:hanging="567"/>
        <w:contextualSpacing/>
        <w:jc w:val="both"/>
        <w:rPr>
          <w:rFonts w:ascii="David" w:eastAsia="Calibri" w:hAnsi="David"/>
        </w:rPr>
      </w:pPr>
      <w:r w:rsidRPr="003042EC">
        <w:rPr>
          <w:rFonts w:ascii="David" w:eastAsia="Calibri" w:hAnsi="David"/>
          <w:rtl/>
        </w:rPr>
        <w:t xml:space="preserve">הנה כי כן, </w:t>
      </w:r>
      <w:r w:rsidRPr="003042EC">
        <w:rPr>
          <w:rFonts w:ascii="David" w:hAnsi="David"/>
          <w:rtl/>
        </w:rPr>
        <w:t>ובתמצית ייאמר כי ההגנה הצביעה על מגוון פגמים שנפלו במעשיה של המאשימה המצדיקים לדידה את בקשתה לביטולו של כתב האישום וזאת בהעדר ראיות או נסיבות חדשות שהצדיקו את פתיחת התיק מחדש; בהעדר הגשת ערר פורמאלי מטעם המתלונן שהצדיק את חזרתה של המאשימה מהחלטתה לסגור את התיק; השיהוי בהגשת מכתבו של בא כוח המתלונן, שהגם אם ניתן להכתירו כ'ערר', הוגש בשיהוי ובניגוד לסד הזמנים הקבוע בחוק; ובשל הימנעותה של המאשימה לשלוח לנאשם מכתב 'יידוע' או הודעה פורמאלית בדבר הגשת הערר וההיתכנות להגשת כתב האישום כנגדו</w:t>
      </w:r>
      <w:r w:rsidRPr="003042EC">
        <w:rPr>
          <w:rFonts w:ascii="David" w:eastAsia="Calibri" w:hAnsi="David"/>
          <w:rtl/>
        </w:rPr>
        <w:t xml:space="preserve"> – </w:t>
      </w:r>
      <w:r w:rsidRPr="003042EC">
        <w:rPr>
          <w:rFonts w:ascii="David" w:hAnsi="David"/>
          <w:rtl/>
        </w:rPr>
        <w:t>כשבנסיבות אלו לא ניתנה לנאשם הזדמנות ראויה להשמיע את השגותיו כדין עובר לפתיחת התיק מחדש.</w:t>
      </w:r>
      <w:r w:rsidRPr="003042EC">
        <w:rPr>
          <w:rFonts w:ascii="David" w:eastAsia="Calibri" w:hAnsi="David"/>
          <w:rtl/>
        </w:rPr>
        <w:t xml:space="preserve"> עוד הוסיפה ההגנה וטענה כי פועל יוצא של הפגם באי יידוע הנאשם על אודות הערר שהוגש וההיתכנות להגשת כתב האישום כנגדו, היא הפגיעה בזכות ה'שימוע' של הנאשם, שהינה זכות המוקנית לו על פי דין בטרם תתקבל החלטה בעניינו, כעולה מסעיפים 60א ו 65ב(ג) </w:t>
      </w:r>
      <w:r w:rsidRPr="003042EC">
        <w:rPr>
          <w:rFonts w:ascii="David" w:eastAsia="Calibri" w:hAnsi="David"/>
          <w:u w:val="single"/>
          <w:rtl/>
        </w:rPr>
        <w:t>לחסד"פ</w:t>
      </w:r>
      <w:r w:rsidRPr="003042EC">
        <w:rPr>
          <w:rFonts w:ascii="David" w:eastAsia="Calibri" w:hAnsi="David"/>
          <w:rtl/>
        </w:rPr>
        <w:t xml:space="preserve">. לאור כל אלה נטען, כי יש להורות על ביטולו של כתב האישום שהוגש בחוסר סמכות ולמצער מכוח טענת ה'הגנה מן הצדק'. </w:t>
      </w:r>
    </w:p>
    <w:p w:rsidR="003042EC" w:rsidRPr="003042EC" w:rsidRDefault="003042EC" w:rsidP="00383A31">
      <w:pPr>
        <w:pStyle w:val="af1"/>
        <w:numPr>
          <w:ilvl w:val="0"/>
          <w:numId w:val="2"/>
        </w:numPr>
        <w:spacing w:line="360" w:lineRule="auto"/>
        <w:ind w:left="84" w:hanging="425"/>
        <w:jc w:val="both"/>
        <w:rPr>
          <w:rFonts w:ascii="David" w:eastAsia="Calibri" w:hAnsi="David"/>
          <w:b/>
          <w:bCs/>
        </w:rPr>
      </w:pPr>
      <w:r w:rsidRPr="003042EC">
        <w:rPr>
          <w:rFonts w:ascii="David" w:hAnsi="David"/>
          <w:b/>
          <w:bCs/>
          <w:rtl/>
        </w:rPr>
        <w:t>מנגד,</w:t>
      </w:r>
      <w:r w:rsidRPr="003042EC">
        <w:rPr>
          <w:rFonts w:ascii="David" w:hAnsi="David"/>
          <w:rtl/>
        </w:rPr>
        <w:t xml:space="preserve"> המאשימה סברה כי אין מקום להיעתר לבקשה. בעניין זה בתמצית ייאמר, כי לדידה של המאשימה כתב האישום הוגש בסמכות וכדין וכי לא נפל כל פגם בהתנהלותה המצדיקים  היעתרות לבקשה, שכן </w:t>
      </w:r>
      <w:r w:rsidRPr="003042EC">
        <w:rPr>
          <w:rFonts w:ascii="David" w:eastAsia="Calibri" w:hAnsi="David"/>
          <w:rtl/>
        </w:rPr>
        <w:t xml:space="preserve">לתביעה מסור שיקול הדעת לשנות מהחלטתה הקודמת ולהורות על פתיחת תיק שנסגר </w:t>
      </w:r>
      <w:r w:rsidRPr="003042EC">
        <w:rPr>
          <w:rFonts w:ascii="David" w:eastAsia="Calibri" w:hAnsi="David"/>
          <w:rtl/>
        </w:rPr>
        <w:lastRenderedPageBreak/>
        <w:t>תוך בחינת השיקולים הרלוונטיים, בסבירות וללא משוא פנים</w:t>
      </w:r>
      <w:r w:rsidRPr="003042EC">
        <w:rPr>
          <w:rFonts w:ascii="David" w:hAnsi="David"/>
          <w:rtl/>
        </w:rPr>
        <w:t xml:space="preserve">. במקרה דנן, ובעקבות פנייתו של בא כוח המתלונן שהשיג על סגירת התיק (והגם אם אין המדובר בערר פורמאלי), התביעה שקלה את עמדתה מחדש, תוך שהאינטרס הציבורי חייב את בירור האשמה בעבירה החמורה שבה הועמד הנאשם לדין. ברוח זו נטען, כי הפסיקה קבעה כי ביטול כתב אישום מחמת טענת ה'הגנה מן הצדק' יעשה רק במקרים נדירים וחריגים שבהם מדובר בהתנהגות פסולה מצד הרשות הגובלת בהתעמרות בנאשם או בניהול הליך סרק, הפוגעים פגיעה ממשית בהגנת הנאשם ובזכויותיו, ואילו בעניינינו העלה הנאשם לכל היותר טענות פרוצדוראליות בעיקרן, שבצדן פגיעה מזערית בלבד, ולכן ודאי שהן אינן מצדיקות את הסנקציה החמורה של ביטולו של כתב האישום. </w:t>
      </w:r>
    </w:p>
    <w:p w:rsidR="003042EC" w:rsidRPr="003042EC" w:rsidRDefault="003042EC" w:rsidP="00383A31">
      <w:pPr>
        <w:spacing w:line="360" w:lineRule="auto"/>
        <w:jc w:val="both"/>
        <w:rPr>
          <w:rFonts w:ascii="David" w:eastAsia="Calibri" w:hAnsi="David"/>
        </w:rPr>
      </w:pPr>
    </w:p>
    <w:p w:rsidR="003042EC" w:rsidRPr="003042EC" w:rsidRDefault="003042EC" w:rsidP="00383A31">
      <w:pPr>
        <w:spacing w:line="360" w:lineRule="auto"/>
        <w:jc w:val="center"/>
        <w:rPr>
          <w:rFonts w:ascii="David" w:eastAsia="Calibri" w:hAnsi="David"/>
          <w:b/>
          <w:bCs/>
          <w:sz w:val="32"/>
          <w:szCs w:val="32"/>
          <w:u w:val="single"/>
          <w:rtl/>
        </w:rPr>
      </w:pPr>
      <w:r w:rsidRPr="003042EC">
        <w:rPr>
          <w:rFonts w:ascii="David" w:eastAsia="Calibri" w:hAnsi="David"/>
          <w:b/>
          <w:bCs/>
          <w:sz w:val="32"/>
          <w:szCs w:val="32"/>
          <w:u w:val="single"/>
          <w:rtl/>
        </w:rPr>
        <w:t>דיון והכרעה</w:t>
      </w:r>
    </w:p>
    <w:p w:rsidR="003042EC" w:rsidRPr="003042EC" w:rsidRDefault="003042EC" w:rsidP="00383A31">
      <w:pPr>
        <w:pStyle w:val="af1"/>
        <w:numPr>
          <w:ilvl w:val="0"/>
          <w:numId w:val="2"/>
        </w:numPr>
        <w:spacing w:line="360" w:lineRule="auto"/>
        <w:ind w:left="84" w:hanging="425"/>
        <w:jc w:val="both"/>
        <w:rPr>
          <w:rFonts w:ascii="David" w:eastAsia="Calibri" w:hAnsi="David"/>
          <w:rtl/>
        </w:rPr>
      </w:pPr>
      <w:bookmarkStart w:id="4" w:name="DOCUMENT_TITLE"/>
      <w:r w:rsidRPr="003042EC">
        <w:rPr>
          <w:rFonts w:ascii="David" w:eastAsia="Calibri" w:hAnsi="David"/>
          <w:rtl/>
        </w:rPr>
        <w:t>כידוע, טענת ה'הגנה מן הצדק' מכירה בסמכותו של בית</w:t>
      </w:r>
      <w:r w:rsidRPr="003042EC">
        <w:rPr>
          <w:rFonts w:ascii="David" w:eastAsia="Calibri" w:hAnsi="David"/>
          <w:vertAlign w:val="superscript"/>
          <w:rtl/>
        </w:rPr>
        <w:t>-</w:t>
      </w:r>
      <w:r w:rsidRPr="003042EC">
        <w:rPr>
          <w:rFonts w:ascii="David" w:eastAsia="Calibri" w:hAnsi="David"/>
          <w:rtl/>
        </w:rPr>
        <w:t>המשפט להורות על ביטולו של כתב אישום אם השתכנע בית</w:t>
      </w:r>
      <w:r w:rsidRPr="003042EC">
        <w:rPr>
          <w:rFonts w:ascii="David" w:eastAsia="Calibri" w:hAnsi="David"/>
          <w:vertAlign w:val="superscript"/>
          <w:rtl/>
        </w:rPr>
        <w:t>-</w:t>
      </w:r>
      <w:r w:rsidRPr="003042EC">
        <w:rPr>
          <w:rFonts w:ascii="David" w:eastAsia="Calibri" w:hAnsi="David"/>
          <w:rtl/>
        </w:rPr>
        <w:t xml:space="preserve">המשפט כי הגשתו או בירורו פוגעים בעקרונות הצדק וההגינות המשפטית (ראו לעניין זה, סעיף 149(10) </w:t>
      </w:r>
      <w:r w:rsidRPr="003042EC">
        <w:rPr>
          <w:rFonts w:ascii="David" w:eastAsia="Calibri" w:hAnsi="David"/>
          <w:u w:val="single"/>
          <w:rtl/>
        </w:rPr>
        <w:t>לחסד"פ</w:t>
      </w:r>
      <w:r w:rsidRPr="003042EC">
        <w:rPr>
          <w:rFonts w:ascii="David" w:eastAsia="Calibri" w:hAnsi="David"/>
          <w:rtl/>
        </w:rPr>
        <w:t xml:space="preserve"> וכן, </w:t>
      </w:r>
      <w:r w:rsidRPr="003042EC">
        <w:rPr>
          <w:rFonts w:ascii="David" w:eastAsia="Calibri" w:hAnsi="David"/>
          <w:u w:val="single"/>
          <w:rtl/>
        </w:rPr>
        <w:t>ע"פ 6144/10</w:t>
      </w:r>
      <w:r w:rsidRPr="003042EC">
        <w:rPr>
          <w:rFonts w:ascii="David" w:eastAsia="Calibri" w:hAnsi="David"/>
          <w:rtl/>
        </w:rPr>
        <w:t xml:space="preserve"> </w:t>
      </w:r>
      <w:r w:rsidRPr="003042EC">
        <w:rPr>
          <w:rFonts w:ascii="David" w:eastAsia="Calibri" w:hAnsi="David"/>
          <w:b/>
          <w:bCs/>
          <w:rtl/>
        </w:rPr>
        <w:t>גטצאו נ' מדינת ישראל</w:t>
      </w:r>
      <w:r w:rsidRPr="003042EC">
        <w:rPr>
          <w:rFonts w:ascii="David" w:eastAsia="Calibri" w:hAnsi="David"/>
          <w:rtl/>
        </w:rPr>
        <w:t xml:space="preserve"> [פורסם בנבו] (10.04.2013) להלן: </w:t>
      </w:r>
      <w:r w:rsidRPr="003042EC">
        <w:rPr>
          <w:rFonts w:ascii="David" w:eastAsia="Calibri" w:hAnsi="David"/>
          <w:b/>
          <w:bCs/>
          <w:rtl/>
        </w:rPr>
        <w:t>"עניין גטצאו"</w:t>
      </w:r>
      <w:r w:rsidRPr="003042EC">
        <w:rPr>
          <w:rFonts w:ascii="David" w:eastAsia="Calibri" w:hAnsi="David"/>
          <w:rtl/>
        </w:rPr>
        <w:t>).</w:t>
      </w:r>
    </w:p>
    <w:p w:rsidR="003042EC" w:rsidRPr="003042EC" w:rsidRDefault="003042EC" w:rsidP="00383A31">
      <w:pPr>
        <w:numPr>
          <w:ilvl w:val="0"/>
          <w:numId w:val="2"/>
        </w:numPr>
        <w:spacing w:line="360" w:lineRule="auto"/>
        <w:ind w:left="43" w:hanging="425"/>
        <w:contextualSpacing/>
        <w:jc w:val="both"/>
        <w:rPr>
          <w:rFonts w:ascii="David" w:eastAsia="Calibri" w:hAnsi="David"/>
          <w:b/>
          <w:bCs/>
        </w:rPr>
      </w:pPr>
      <w:r w:rsidRPr="003042EC">
        <w:rPr>
          <w:rFonts w:ascii="David" w:eastAsia="Calibri" w:hAnsi="David"/>
          <w:rtl/>
        </w:rPr>
        <w:t>המהות העומדת בבסיסה של דוקטרינת ה'הגנה מן הצדק' הינה הבטחת קיומו של הליך פלילי צודק והוגן, ועל</w:t>
      </w:r>
      <w:r w:rsidRPr="003042EC">
        <w:rPr>
          <w:rFonts w:ascii="David" w:eastAsia="Calibri" w:hAnsi="David"/>
          <w:vertAlign w:val="superscript"/>
          <w:rtl/>
        </w:rPr>
        <w:t>-</w:t>
      </w:r>
      <w:r w:rsidRPr="003042EC">
        <w:rPr>
          <w:rFonts w:ascii="David" w:eastAsia="Calibri" w:hAnsi="David"/>
          <w:rtl/>
        </w:rPr>
        <w:t>כן תחולתה רחבה, ועשויה לחול בכל מקרה שבו בית</w:t>
      </w:r>
      <w:r w:rsidRPr="003042EC">
        <w:rPr>
          <w:rFonts w:ascii="David" w:eastAsia="Calibri" w:hAnsi="David"/>
          <w:vertAlign w:val="superscript"/>
          <w:rtl/>
        </w:rPr>
        <w:t>-</w:t>
      </w:r>
      <w:r w:rsidRPr="003042EC">
        <w:rPr>
          <w:rFonts w:ascii="David" w:eastAsia="Calibri" w:hAnsi="David"/>
          <w:rtl/>
        </w:rPr>
        <w:t xml:space="preserve">המשפט מתרשם כי קיומו של ההליך הפלילי פוגע באופן ממשי בתחושת הצדק וההגינות. </w:t>
      </w:r>
      <w:bookmarkEnd w:id="4"/>
      <w:r w:rsidRPr="003042EC">
        <w:rPr>
          <w:rFonts w:ascii="David" w:eastAsia="Calibri" w:hAnsi="David"/>
          <w:rtl/>
        </w:rPr>
        <w:t>יצוין, כי הגנה זו חלה גם במקרים שבהם</w:t>
      </w:r>
      <w:r w:rsidRPr="003042EC">
        <w:rPr>
          <w:rFonts w:ascii="David" w:eastAsia="Calibri" w:hAnsi="David"/>
          <w:b/>
          <w:bCs/>
          <w:rtl/>
        </w:rPr>
        <w:t xml:space="preserve"> </w:t>
      </w:r>
      <w:r w:rsidRPr="003042EC">
        <w:rPr>
          <w:rFonts w:ascii="David" w:eastAsia="Calibri" w:hAnsi="David"/>
          <w:rtl/>
        </w:rPr>
        <w:t xml:space="preserve">ההפליה היא פרי מעשה מחדל ורשלנות, או טעות בשיקול הדעת מצד הרשות, ולאו דווקא כאשר יש כוונת זדון מצדה (וראו לעניין זה, </w:t>
      </w:r>
      <w:r w:rsidRPr="003042EC">
        <w:rPr>
          <w:rFonts w:ascii="David" w:eastAsia="Calibri" w:hAnsi="David"/>
          <w:u w:val="single"/>
          <w:rtl/>
        </w:rPr>
        <w:t>רע"פ 1611/16</w:t>
      </w:r>
      <w:r w:rsidRPr="003042EC">
        <w:rPr>
          <w:rFonts w:ascii="David" w:eastAsia="Calibri" w:hAnsi="David"/>
          <w:b/>
          <w:bCs/>
          <w:u w:val="single"/>
          <w:rtl/>
        </w:rPr>
        <w:t xml:space="preserve"> </w:t>
      </w:r>
      <w:r w:rsidRPr="003042EC">
        <w:rPr>
          <w:rFonts w:ascii="David" w:eastAsia="Calibri" w:hAnsi="David"/>
          <w:b/>
          <w:bCs/>
          <w:rtl/>
        </w:rPr>
        <w:t xml:space="preserve">מדינת ישראל נגד ורדי </w:t>
      </w:r>
      <w:r w:rsidRPr="003042EC">
        <w:rPr>
          <w:rFonts w:ascii="David" w:eastAsia="Calibri" w:hAnsi="David"/>
          <w:rtl/>
        </w:rPr>
        <w:t>[פורסם בנבו] (31.10.2018)).</w:t>
      </w:r>
    </w:p>
    <w:p w:rsidR="003042EC" w:rsidRPr="003042EC" w:rsidRDefault="003042EC" w:rsidP="00383A31">
      <w:pPr>
        <w:numPr>
          <w:ilvl w:val="0"/>
          <w:numId w:val="2"/>
        </w:numPr>
        <w:spacing w:line="360" w:lineRule="auto"/>
        <w:ind w:left="43" w:hanging="425"/>
        <w:contextualSpacing/>
        <w:jc w:val="both"/>
        <w:rPr>
          <w:rFonts w:ascii="David" w:eastAsia="Calibri" w:hAnsi="David"/>
          <w:b/>
          <w:bCs/>
        </w:rPr>
      </w:pPr>
      <w:r w:rsidRPr="003042EC">
        <w:rPr>
          <w:rFonts w:ascii="David" w:eastAsia="Calibri" w:hAnsi="David"/>
          <w:rtl/>
        </w:rPr>
        <w:t>עם זאת, לא כל פגם שנפל במעשיה של רשות מרשויות המדינה יצדיק מניה וביה את ההחלטה שדין האישום להתבטל מטעמי 'הגנה מן הצדק', ובית</w:t>
      </w:r>
      <w:r w:rsidRPr="003042EC">
        <w:rPr>
          <w:rFonts w:ascii="David" w:eastAsia="Calibri" w:hAnsi="David"/>
          <w:vertAlign w:val="superscript"/>
          <w:rtl/>
        </w:rPr>
        <w:t>-</w:t>
      </w:r>
      <w:r w:rsidRPr="003042EC">
        <w:rPr>
          <w:rFonts w:ascii="David" w:eastAsia="Calibri" w:hAnsi="David"/>
          <w:rtl/>
        </w:rPr>
        <w:t>המשפט ייעתר להחלת ההגנה רק במקרים חריגים ביותר, כאשר זכויותיו של הנאשם נפגעו בצורה חמורה.</w:t>
      </w:r>
    </w:p>
    <w:p w:rsidR="003042EC" w:rsidRPr="003042EC" w:rsidRDefault="003042EC" w:rsidP="00383A31">
      <w:pPr>
        <w:pStyle w:val="af1"/>
        <w:numPr>
          <w:ilvl w:val="0"/>
          <w:numId w:val="2"/>
        </w:numPr>
        <w:spacing w:line="360" w:lineRule="auto"/>
        <w:ind w:left="84" w:hanging="425"/>
        <w:jc w:val="both"/>
        <w:rPr>
          <w:rFonts w:ascii="David" w:hAnsi="David"/>
        </w:rPr>
      </w:pPr>
      <w:r w:rsidRPr="003042EC">
        <w:rPr>
          <w:rFonts w:ascii="David" w:eastAsia="Calibri" w:hAnsi="David"/>
          <w:b/>
          <w:bCs/>
          <w:rtl/>
        </w:rPr>
        <w:t>במקרה המונח לפתחי, ההגנה מבקשת כי בית</w:t>
      </w:r>
      <w:r w:rsidRPr="003042EC">
        <w:rPr>
          <w:rFonts w:ascii="David" w:eastAsia="Calibri" w:hAnsi="David"/>
          <w:b/>
          <w:bCs/>
          <w:vertAlign w:val="superscript"/>
          <w:rtl/>
        </w:rPr>
        <w:t>-</w:t>
      </w:r>
      <w:r w:rsidRPr="003042EC">
        <w:rPr>
          <w:rFonts w:ascii="David" w:eastAsia="Calibri" w:hAnsi="David"/>
          <w:b/>
          <w:bCs/>
          <w:rtl/>
        </w:rPr>
        <w:t>המשפט</w:t>
      </w:r>
      <w:r w:rsidRPr="003042EC">
        <w:rPr>
          <w:rFonts w:ascii="David" w:eastAsia="Calibri" w:hAnsi="David"/>
          <w:rtl/>
        </w:rPr>
        <w:t xml:space="preserve"> </w:t>
      </w:r>
      <w:r w:rsidRPr="003042EC">
        <w:rPr>
          <w:rFonts w:ascii="David" w:eastAsia="Calibri" w:hAnsi="David"/>
          <w:b/>
          <w:bCs/>
          <w:rtl/>
        </w:rPr>
        <w:t>יורה על ביטול האישום משהוגש מחדש, כך לדידה, בחוסר סמכות ולמצער להחיל על מקרהו של הנאשם את דוקטרינת ה'ההגנה מן הצדק'</w:t>
      </w:r>
      <w:r w:rsidRPr="003042EC">
        <w:rPr>
          <w:rFonts w:ascii="David" w:eastAsia="Calibri" w:hAnsi="David"/>
          <w:rtl/>
        </w:rPr>
        <w:t xml:space="preserve">. עיון בפסיקה הדנה באופן פרטני בסוגיה זו מגלה </w:t>
      </w:r>
      <w:r w:rsidRPr="003042EC">
        <w:rPr>
          <w:rFonts w:ascii="David" w:hAnsi="David"/>
          <w:rtl/>
        </w:rPr>
        <w:t>כי קיימת בידי התביעה הסמכות לשנות מהחלטתה הקודמת באשר לסגירתו של תיק פלילי ולהגיש כתב אישום מחדש. עם זאת, שימוש בסמכות זו חייב להיעשות במשורה ובנסיבות חריגות שבהן התגלו נסיבות חדשות, או שהאינטרס הציבורי בבירור האשמה הוא כה משמעותי, למשל כשמדובר בעבירה חמורה המסכנת חיי אדם, עד שהוא מחייב את שינוי ההחלטה הקודמת, למרות הפגיעה באינטרס הציפייה של הנאשם. וכך, ב</w:t>
      </w:r>
      <w:r w:rsidRPr="003042EC">
        <w:rPr>
          <w:rFonts w:ascii="David" w:hAnsi="David"/>
          <w:u w:val="single"/>
          <w:rtl/>
        </w:rPr>
        <w:t xml:space="preserve">בג"צ 57/64 </w:t>
      </w:r>
      <w:r w:rsidRPr="003042EC">
        <w:rPr>
          <w:rFonts w:ascii="David" w:hAnsi="David"/>
          <w:b/>
          <w:bCs/>
          <w:rtl/>
        </w:rPr>
        <w:t>משה כהן נ' שר המשפטים</w:t>
      </w:r>
      <w:r w:rsidRPr="003042EC">
        <w:rPr>
          <w:rFonts w:ascii="David" w:hAnsi="David"/>
          <w:rtl/>
        </w:rPr>
        <w:t xml:space="preserve"> פ"ד י"ח (2), 396 (25.03.1964), נקבע כי היועץ המשפטי לממשלה רשאי לחזור בו מהחלטה שלא להעמיד נאשם לדין, אולם שינוי מעין זה יכול ויחול רק במקרים נדירים על יסוד נימוקים כבדי משקל, שכן מדובר בפגיעה חמורה בזכויותיו הטבעיות של הנאשם לאחר שהוא יצא </w:t>
      </w:r>
      <w:r w:rsidRPr="003042EC">
        <w:rPr>
          <w:rFonts w:ascii="David" w:hAnsi="David"/>
          <w:rtl/>
        </w:rPr>
        <w:lastRenderedPageBreak/>
        <w:t xml:space="preserve">מאפלת אימת הדין לאור השחרור עם סגירת התיק נגדו, כשההחלטה לפתוח את התיק כנגדו מטילה עליו את אימת הדין מחדש. </w:t>
      </w:r>
    </w:p>
    <w:p w:rsidR="003042EC" w:rsidRPr="003042EC" w:rsidRDefault="003042EC" w:rsidP="00383A31">
      <w:pPr>
        <w:pStyle w:val="af1"/>
        <w:numPr>
          <w:ilvl w:val="0"/>
          <w:numId w:val="2"/>
        </w:numPr>
        <w:spacing w:line="360" w:lineRule="auto"/>
        <w:ind w:left="84" w:hanging="425"/>
        <w:jc w:val="both"/>
        <w:rPr>
          <w:rFonts w:ascii="David" w:hAnsi="David"/>
        </w:rPr>
      </w:pPr>
      <w:r w:rsidRPr="003042EC">
        <w:rPr>
          <w:rFonts w:ascii="David" w:hAnsi="David"/>
          <w:rtl/>
        </w:rPr>
        <w:t xml:space="preserve">ברוח פסיקה עקרונית זו התירו </w:t>
      </w:r>
      <w:r w:rsidRPr="003042EC">
        <w:rPr>
          <w:rFonts w:ascii="David" w:eastAsia="Calibri" w:hAnsi="David"/>
          <w:rtl/>
        </w:rPr>
        <w:t>בתי</w:t>
      </w:r>
      <w:r w:rsidRPr="003042EC">
        <w:rPr>
          <w:rFonts w:ascii="David" w:eastAsia="Calibri" w:hAnsi="David"/>
          <w:vertAlign w:val="superscript"/>
          <w:rtl/>
        </w:rPr>
        <w:t>-</w:t>
      </w:r>
      <w:r w:rsidRPr="003042EC">
        <w:rPr>
          <w:rFonts w:ascii="David" w:eastAsia="Calibri" w:hAnsi="David"/>
          <w:rtl/>
        </w:rPr>
        <w:t xml:space="preserve">המשפט </w:t>
      </w:r>
      <w:r w:rsidRPr="003042EC">
        <w:rPr>
          <w:rFonts w:ascii="David" w:hAnsi="David"/>
          <w:rtl/>
        </w:rPr>
        <w:t xml:space="preserve">לרשות בחלק מהמקרים לשנות מהחלטתה הקודמת, שעה שנתגלו ראיות חדשות (ראו לעניין זה, </w:t>
      </w:r>
      <w:r w:rsidRPr="003042EC">
        <w:rPr>
          <w:rFonts w:ascii="David" w:hAnsi="David"/>
          <w:u w:val="single"/>
          <w:rtl/>
        </w:rPr>
        <w:t xml:space="preserve">בג"צ 2766/13 </w:t>
      </w:r>
      <w:r w:rsidRPr="003042EC">
        <w:rPr>
          <w:rFonts w:ascii="David" w:hAnsi="David"/>
          <w:b/>
          <w:bCs/>
          <w:rtl/>
        </w:rPr>
        <w:t xml:space="preserve">גוריון נ' מדינת ישראל </w:t>
      </w:r>
      <w:r w:rsidRPr="003042EC">
        <w:rPr>
          <w:rFonts w:ascii="David" w:hAnsi="David"/>
          <w:rtl/>
        </w:rPr>
        <w:t xml:space="preserve">[פורסם בנבו] (23.04.2013); </w:t>
      </w:r>
      <w:r w:rsidRPr="003042EC">
        <w:rPr>
          <w:rFonts w:ascii="David" w:hAnsi="David"/>
          <w:u w:val="single"/>
          <w:rtl/>
        </w:rPr>
        <w:t>וע"פ 7269/08</w:t>
      </w:r>
      <w:r w:rsidRPr="003042EC">
        <w:rPr>
          <w:rFonts w:ascii="David" w:hAnsi="David"/>
          <w:rtl/>
        </w:rPr>
        <w:t xml:space="preserve"> </w:t>
      </w:r>
      <w:r w:rsidRPr="003042EC">
        <w:rPr>
          <w:rFonts w:ascii="David" w:hAnsi="David"/>
          <w:b/>
          <w:bCs/>
          <w:rtl/>
        </w:rPr>
        <w:t xml:space="preserve">פלוני נ' מדינת ישראל </w:t>
      </w:r>
      <w:r w:rsidRPr="003042EC">
        <w:rPr>
          <w:rFonts w:ascii="David" w:hAnsi="David"/>
          <w:rtl/>
        </w:rPr>
        <w:t xml:space="preserve">(6.02.2012)), ודחו את בקשת הרשות בהעדרו של שינוי נסיבות מובהק או נתונים חדשים שהצדיקו את פתיחת התיק ובחינתו מחדש (ראו לעניין זה, </w:t>
      </w:r>
      <w:r w:rsidRPr="003042EC">
        <w:rPr>
          <w:rFonts w:ascii="David" w:hAnsi="David"/>
          <w:u w:val="single"/>
          <w:rtl/>
        </w:rPr>
        <w:t>ע"פ (מחוזי נצרת)</w:t>
      </w:r>
      <w:r w:rsidRPr="003042EC">
        <w:rPr>
          <w:rFonts w:ascii="David" w:hAnsi="David"/>
          <w:rtl/>
        </w:rPr>
        <w:t xml:space="preserve"> </w:t>
      </w:r>
      <w:r w:rsidRPr="003042EC">
        <w:rPr>
          <w:rFonts w:ascii="David" w:hAnsi="David"/>
          <w:u w:val="single"/>
          <w:rtl/>
        </w:rPr>
        <w:t>21158-03-12</w:t>
      </w:r>
      <w:r w:rsidRPr="003042EC">
        <w:rPr>
          <w:rFonts w:ascii="David" w:hAnsi="David"/>
          <w:rtl/>
        </w:rPr>
        <w:t xml:space="preserve"> </w:t>
      </w:r>
      <w:r w:rsidRPr="003042EC">
        <w:rPr>
          <w:rFonts w:ascii="David" w:hAnsi="David"/>
          <w:b/>
          <w:bCs/>
          <w:rtl/>
        </w:rPr>
        <w:t xml:space="preserve">פרי נ' מדינת ישראל </w:t>
      </w:r>
      <w:r w:rsidRPr="003042EC">
        <w:rPr>
          <w:rFonts w:ascii="David" w:hAnsi="David"/>
          <w:rtl/>
        </w:rPr>
        <w:t xml:space="preserve">[פורסם בנבו] (15.05.2012)). אלא, שהכרעות אלה אינן מעלות ואינן מורידות לענייננו, שכן במקרה דנן לא נטען כי הבסיס לשינוי ההחלטה באשר להעמדת הנאשם לדין נבע מקיומן של ראיות חדשות שקמו לחובת הנאשם. </w:t>
      </w:r>
    </w:p>
    <w:p w:rsidR="003042EC" w:rsidRPr="003042EC" w:rsidRDefault="003042EC" w:rsidP="00383A31">
      <w:pPr>
        <w:pStyle w:val="af1"/>
        <w:numPr>
          <w:ilvl w:val="0"/>
          <w:numId w:val="2"/>
        </w:numPr>
        <w:spacing w:line="360" w:lineRule="auto"/>
        <w:ind w:left="84" w:hanging="425"/>
        <w:jc w:val="both"/>
        <w:rPr>
          <w:rFonts w:ascii="David" w:hAnsi="David"/>
        </w:rPr>
      </w:pPr>
      <w:r w:rsidRPr="003042EC">
        <w:rPr>
          <w:rFonts w:ascii="David" w:hAnsi="David"/>
          <w:rtl/>
        </w:rPr>
        <w:t xml:space="preserve">ולעניינינו, </w:t>
      </w:r>
      <w:r w:rsidRPr="003042EC">
        <w:rPr>
          <w:rFonts w:ascii="David" w:hAnsi="David"/>
          <w:u w:val="single"/>
          <w:rtl/>
        </w:rPr>
        <w:t>בבג"צ 844/86</w:t>
      </w:r>
      <w:r w:rsidRPr="003042EC">
        <w:rPr>
          <w:rFonts w:ascii="David" w:hAnsi="David"/>
          <w:rtl/>
        </w:rPr>
        <w:t xml:space="preserve"> </w:t>
      </w:r>
      <w:r w:rsidRPr="003042EC">
        <w:rPr>
          <w:rFonts w:ascii="David" w:hAnsi="David"/>
          <w:b/>
          <w:bCs/>
          <w:rtl/>
        </w:rPr>
        <w:t xml:space="preserve">דותן נ' היועמ"ש </w:t>
      </w:r>
      <w:r w:rsidRPr="003042EC">
        <w:rPr>
          <w:rFonts w:ascii="David" w:hAnsi="David"/>
          <w:rtl/>
        </w:rPr>
        <w:t xml:space="preserve">פ"ד מ"א (3) 219 (10.6.1987)) (להלן: </w:t>
      </w:r>
      <w:r w:rsidRPr="003042EC">
        <w:rPr>
          <w:rFonts w:ascii="David" w:hAnsi="David"/>
          <w:b/>
          <w:bCs/>
          <w:rtl/>
        </w:rPr>
        <w:t>"פרשת דותן")</w:t>
      </w:r>
      <w:r w:rsidRPr="003042EC">
        <w:rPr>
          <w:rFonts w:ascii="David" w:hAnsi="David"/>
          <w:rtl/>
        </w:rPr>
        <w:t xml:space="preserve">, </w:t>
      </w:r>
      <w:r w:rsidRPr="003042EC">
        <w:rPr>
          <w:rStyle w:val="normal-h1"/>
          <w:rFonts w:ascii="David" w:hAnsi="David" w:cs="David"/>
          <w:sz w:val="24"/>
          <w:szCs w:val="24"/>
          <w:rtl/>
        </w:rPr>
        <w:t xml:space="preserve">נקבעה ההלכה הבסיסית בסוגיית פתיחת תיק פלילי מחדש, </w:t>
      </w:r>
      <w:r w:rsidRPr="003042EC">
        <w:rPr>
          <w:rStyle w:val="normal-h1"/>
          <w:rFonts w:ascii="David" w:hAnsi="David" w:cs="David"/>
          <w:b/>
          <w:bCs/>
          <w:sz w:val="24"/>
          <w:szCs w:val="24"/>
          <w:rtl/>
        </w:rPr>
        <w:t>הגם אם לא נתגלו ראיות חדשות</w:t>
      </w:r>
      <w:r w:rsidRPr="003042EC">
        <w:rPr>
          <w:rStyle w:val="normal-h1"/>
          <w:rFonts w:ascii="David" w:hAnsi="David" w:cs="David"/>
          <w:sz w:val="24"/>
          <w:szCs w:val="24"/>
          <w:rtl/>
        </w:rPr>
        <w:t xml:space="preserve">, לפיה </w:t>
      </w:r>
      <w:r w:rsidRPr="003042EC">
        <w:rPr>
          <w:rStyle w:val="normal-h1"/>
          <w:rFonts w:ascii="David" w:hAnsi="David" w:cs="David"/>
          <w:b/>
          <w:bCs/>
          <w:sz w:val="24"/>
          <w:szCs w:val="24"/>
          <w:rtl/>
        </w:rPr>
        <w:t xml:space="preserve">אין מניעה שרשות מנהלית כלשהי, ולעניין זה גם גוף חוקר הוא רשות מנהלית, ישוב וישקול את החלטתו פעם נוספת, </w:t>
      </w:r>
      <w:r w:rsidRPr="003042EC">
        <w:rPr>
          <w:rFonts w:ascii="David" w:hAnsi="David"/>
          <w:b/>
          <w:bCs/>
          <w:rtl/>
        </w:rPr>
        <w:t xml:space="preserve">כששינוי ההחלטה ייעשה במקרים חריגים </w:t>
      </w:r>
      <w:r w:rsidRPr="003042EC">
        <w:rPr>
          <w:rStyle w:val="normal-h1"/>
          <w:rFonts w:ascii="David" w:hAnsi="David" w:cs="David"/>
          <w:b/>
          <w:bCs/>
          <w:sz w:val="24"/>
          <w:szCs w:val="24"/>
          <w:rtl/>
        </w:rPr>
        <w:t xml:space="preserve">בין מיוזמתו ובין </w:t>
      </w:r>
      <w:r w:rsidRPr="003042EC">
        <w:rPr>
          <w:rFonts w:ascii="David" w:hAnsi="David"/>
          <w:b/>
          <w:bCs/>
          <w:rtl/>
        </w:rPr>
        <w:t>על</w:t>
      </w:r>
      <w:r w:rsidRPr="003042EC">
        <w:rPr>
          <w:rFonts w:ascii="David" w:eastAsia="Calibri" w:hAnsi="David"/>
          <w:b/>
          <w:bCs/>
          <w:vertAlign w:val="superscript"/>
          <w:rtl/>
        </w:rPr>
        <w:t>-</w:t>
      </w:r>
      <w:r w:rsidRPr="003042EC">
        <w:rPr>
          <w:rFonts w:ascii="David" w:eastAsia="Calibri" w:hAnsi="David"/>
          <w:b/>
          <w:bCs/>
          <w:rtl/>
        </w:rPr>
        <w:t xml:space="preserve">פי </w:t>
      </w:r>
      <w:r w:rsidRPr="003042EC">
        <w:rPr>
          <w:rStyle w:val="normal-h1"/>
          <w:rFonts w:ascii="David" w:hAnsi="David" w:cs="David"/>
          <w:b/>
          <w:bCs/>
          <w:sz w:val="24"/>
          <w:szCs w:val="24"/>
          <w:rtl/>
        </w:rPr>
        <w:t>פנייה אליו, בין אם מצדו של המתלונן ובין מצדו של כל גורם אחר</w:t>
      </w:r>
      <w:r w:rsidRPr="003042EC">
        <w:rPr>
          <w:rStyle w:val="normal-h1"/>
          <w:rFonts w:ascii="David" w:hAnsi="David" w:cs="David"/>
          <w:sz w:val="24"/>
          <w:szCs w:val="24"/>
          <w:rtl/>
        </w:rPr>
        <w:t xml:space="preserve">. כשסמכות זו הוקנתה לרשות במפורש בסעיף 15 </w:t>
      </w:r>
      <w:r w:rsidRPr="003042EC">
        <w:rPr>
          <w:rStyle w:val="normal-h1"/>
          <w:rFonts w:ascii="David" w:hAnsi="David" w:cs="David"/>
          <w:sz w:val="24"/>
          <w:szCs w:val="24"/>
          <w:u w:val="single"/>
          <w:rtl/>
        </w:rPr>
        <w:t>לחוק הפרשנות, התשמ"א-1981</w:t>
      </w:r>
      <w:r w:rsidRPr="003042EC">
        <w:rPr>
          <w:rStyle w:val="normal-h1"/>
          <w:rFonts w:ascii="David" w:hAnsi="David" w:cs="David"/>
          <w:sz w:val="24"/>
          <w:szCs w:val="24"/>
          <w:rtl/>
        </w:rPr>
        <w:t xml:space="preserve"> (להלן: </w:t>
      </w:r>
      <w:r w:rsidRPr="003042EC">
        <w:rPr>
          <w:rStyle w:val="normal-h1"/>
          <w:rFonts w:ascii="David" w:hAnsi="David" w:cs="David"/>
          <w:b/>
          <w:bCs/>
          <w:sz w:val="24"/>
          <w:szCs w:val="24"/>
          <w:rtl/>
        </w:rPr>
        <w:t>חוק הפרשנות</w:t>
      </w:r>
      <w:r w:rsidRPr="003042EC">
        <w:rPr>
          <w:rStyle w:val="normal-h1"/>
          <w:rFonts w:ascii="David" w:hAnsi="David" w:cs="David"/>
          <w:sz w:val="24"/>
          <w:szCs w:val="24"/>
          <w:rtl/>
        </w:rPr>
        <w:t xml:space="preserve">) (ראו לעניין זה גם, </w:t>
      </w:r>
      <w:r w:rsidRPr="003042EC">
        <w:rPr>
          <w:rFonts w:ascii="David" w:hAnsi="David"/>
          <w:u w:val="single"/>
          <w:rtl/>
        </w:rPr>
        <w:t>ע"פ 1551/15</w:t>
      </w:r>
      <w:r w:rsidRPr="003042EC">
        <w:rPr>
          <w:rFonts w:ascii="David" w:hAnsi="David"/>
          <w:rtl/>
        </w:rPr>
        <w:t xml:space="preserve"> </w:t>
      </w:r>
      <w:r w:rsidRPr="003042EC">
        <w:rPr>
          <w:rFonts w:ascii="David" w:hAnsi="David"/>
          <w:b/>
          <w:bCs/>
          <w:rtl/>
        </w:rPr>
        <w:t>שולי נ' מדינת ישראל</w:t>
      </w:r>
      <w:r w:rsidRPr="003042EC">
        <w:rPr>
          <w:rFonts w:ascii="David" w:hAnsi="David"/>
          <w:rtl/>
        </w:rPr>
        <w:t>, [פורסם בנבו] (06.09.2016) ( להלן: "</w:t>
      </w:r>
      <w:r w:rsidRPr="003042EC">
        <w:rPr>
          <w:rFonts w:ascii="David" w:hAnsi="David"/>
          <w:b/>
          <w:bCs/>
          <w:rtl/>
        </w:rPr>
        <w:t>פרשת שולי</w:t>
      </w:r>
      <w:r w:rsidRPr="003042EC">
        <w:rPr>
          <w:rFonts w:ascii="David" w:hAnsi="David"/>
          <w:rtl/>
        </w:rPr>
        <w:t xml:space="preserve">"); </w:t>
      </w:r>
      <w:r w:rsidRPr="003042EC">
        <w:rPr>
          <w:rFonts w:ascii="David" w:hAnsi="David"/>
          <w:u w:val="single"/>
          <w:rtl/>
        </w:rPr>
        <w:t>ת"פ (שלום באר שבע) 47492-04-13</w:t>
      </w:r>
      <w:r w:rsidRPr="003042EC">
        <w:rPr>
          <w:rFonts w:ascii="David" w:hAnsi="David"/>
          <w:rtl/>
        </w:rPr>
        <w:t xml:space="preserve"> </w:t>
      </w:r>
      <w:r w:rsidRPr="003042EC">
        <w:rPr>
          <w:rFonts w:ascii="David" w:hAnsi="David"/>
          <w:b/>
          <w:bCs/>
          <w:rtl/>
        </w:rPr>
        <w:t>מדינת ישראל</w:t>
      </w:r>
      <w:r w:rsidRPr="003042EC">
        <w:rPr>
          <w:rFonts w:ascii="David" w:hAnsi="David"/>
          <w:rtl/>
        </w:rPr>
        <w:t xml:space="preserve"> נ' </w:t>
      </w:r>
      <w:r w:rsidRPr="003042EC">
        <w:rPr>
          <w:rFonts w:ascii="David" w:eastAsia="Calibri" w:hAnsi="David"/>
          <w:b/>
          <w:bCs/>
          <w:rtl/>
        </w:rPr>
        <w:t xml:space="preserve">ולרי מנחימוב </w:t>
      </w:r>
      <w:r w:rsidRPr="003042EC">
        <w:rPr>
          <w:rFonts w:ascii="David" w:eastAsia="Calibri" w:hAnsi="David"/>
          <w:rtl/>
        </w:rPr>
        <w:t>[פורסם בנבו] (07.01.2014)</w:t>
      </w:r>
      <w:r w:rsidRPr="003042EC">
        <w:rPr>
          <w:rFonts w:ascii="David" w:eastAsia="Calibri" w:hAnsi="David"/>
          <w:b/>
          <w:bCs/>
          <w:rtl/>
        </w:rPr>
        <w:t xml:space="preserve">; </w:t>
      </w:r>
      <w:r w:rsidRPr="003042EC">
        <w:rPr>
          <w:rFonts w:ascii="David" w:eastAsia="Calibri" w:hAnsi="David"/>
          <w:u w:val="single"/>
          <w:rtl/>
        </w:rPr>
        <w:t>ת"פ (שלום תל אביב-יפו) 54969-02-11</w:t>
      </w:r>
      <w:r w:rsidRPr="003042EC">
        <w:rPr>
          <w:rFonts w:ascii="David" w:eastAsia="Calibri" w:hAnsi="David"/>
          <w:rtl/>
        </w:rPr>
        <w:t xml:space="preserve"> </w:t>
      </w:r>
      <w:r w:rsidRPr="003042EC">
        <w:rPr>
          <w:rFonts w:ascii="David" w:eastAsia="Calibri" w:hAnsi="David"/>
          <w:b/>
          <w:bCs/>
          <w:rtl/>
        </w:rPr>
        <w:t>מדינת ישראל נ' מנסור באבאג'ני</w:t>
      </w:r>
      <w:r w:rsidRPr="003042EC">
        <w:rPr>
          <w:rFonts w:ascii="David" w:eastAsia="Calibri" w:hAnsi="David"/>
          <w:rtl/>
        </w:rPr>
        <w:t xml:space="preserve"> [פורסם בנבו] (24.09.2012); </w:t>
      </w:r>
      <w:r w:rsidRPr="003042EC">
        <w:rPr>
          <w:rFonts w:ascii="David" w:eastAsia="Calibri" w:hAnsi="David"/>
          <w:u w:val="single"/>
          <w:rtl/>
        </w:rPr>
        <w:t>ת"פ (שלום עכו) 43264-09-14</w:t>
      </w:r>
      <w:r w:rsidRPr="003042EC">
        <w:rPr>
          <w:rFonts w:ascii="David" w:eastAsia="Calibri" w:hAnsi="David"/>
          <w:rtl/>
        </w:rPr>
        <w:t xml:space="preserve"> </w:t>
      </w:r>
      <w:r w:rsidRPr="003042EC">
        <w:rPr>
          <w:rFonts w:ascii="David" w:eastAsia="Calibri" w:hAnsi="David"/>
          <w:b/>
          <w:bCs/>
          <w:rtl/>
        </w:rPr>
        <w:t>מדינת ישראל נ' יוסף כמיסה</w:t>
      </w:r>
      <w:r w:rsidRPr="003042EC">
        <w:rPr>
          <w:rFonts w:ascii="David" w:eastAsia="Calibri" w:hAnsi="David"/>
          <w:rtl/>
        </w:rPr>
        <w:t xml:space="preserve"> [פורסם בנבו] (10.02.2016); </w:t>
      </w:r>
      <w:r w:rsidRPr="003042EC">
        <w:rPr>
          <w:rFonts w:ascii="David" w:eastAsia="Calibri" w:hAnsi="David"/>
          <w:u w:val="single"/>
          <w:rtl/>
        </w:rPr>
        <w:t>ת"פ (שלום ראשון לציון) 30043-01-19</w:t>
      </w:r>
      <w:r w:rsidRPr="003042EC">
        <w:rPr>
          <w:rFonts w:ascii="David" w:eastAsia="Calibri" w:hAnsi="David"/>
          <w:rtl/>
        </w:rPr>
        <w:t xml:space="preserve"> </w:t>
      </w:r>
      <w:r w:rsidRPr="003042EC">
        <w:rPr>
          <w:rFonts w:ascii="David" w:eastAsia="Calibri" w:hAnsi="David"/>
          <w:b/>
          <w:bCs/>
          <w:rtl/>
        </w:rPr>
        <w:t>מדינת ישראל נ' אלכס ניקולאי</w:t>
      </w:r>
      <w:r w:rsidRPr="003042EC">
        <w:rPr>
          <w:rFonts w:ascii="David" w:eastAsia="Calibri" w:hAnsi="David"/>
          <w:rtl/>
        </w:rPr>
        <w:t xml:space="preserve"> [פורסם בנבו] (28.04.2020); </w:t>
      </w:r>
      <w:r w:rsidRPr="003042EC">
        <w:rPr>
          <w:rFonts w:ascii="David" w:eastAsia="Calibri" w:hAnsi="David"/>
          <w:u w:val="single"/>
          <w:rtl/>
        </w:rPr>
        <w:t>ת"פ (שלום חיפה) 508-12-18</w:t>
      </w:r>
      <w:r w:rsidRPr="003042EC">
        <w:rPr>
          <w:rFonts w:ascii="David" w:eastAsia="Calibri" w:hAnsi="David"/>
          <w:rtl/>
        </w:rPr>
        <w:t xml:space="preserve"> </w:t>
      </w:r>
      <w:r w:rsidRPr="003042EC">
        <w:rPr>
          <w:rFonts w:ascii="David" w:eastAsia="Calibri" w:hAnsi="David"/>
          <w:b/>
          <w:bCs/>
          <w:rtl/>
        </w:rPr>
        <w:t>מדינת ישראל נ' גנאדי גלר</w:t>
      </w:r>
      <w:r w:rsidRPr="003042EC">
        <w:rPr>
          <w:rFonts w:ascii="David" w:eastAsia="Calibri" w:hAnsi="David"/>
          <w:rtl/>
        </w:rPr>
        <w:t xml:space="preserve"> [פורסם בנבו] (03.08.2020); </w:t>
      </w:r>
      <w:r w:rsidRPr="003042EC">
        <w:rPr>
          <w:rFonts w:ascii="David" w:eastAsia="Calibri" w:hAnsi="David"/>
          <w:u w:val="single"/>
          <w:rtl/>
        </w:rPr>
        <w:t>ת"פ (שלום עכו) 76104-12-19</w:t>
      </w:r>
      <w:r w:rsidRPr="003042EC">
        <w:rPr>
          <w:rFonts w:ascii="David" w:eastAsia="Calibri" w:hAnsi="David"/>
          <w:rtl/>
        </w:rPr>
        <w:t xml:space="preserve"> </w:t>
      </w:r>
      <w:r w:rsidRPr="003042EC">
        <w:rPr>
          <w:rFonts w:ascii="David" w:eastAsia="Calibri" w:hAnsi="David"/>
          <w:b/>
          <w:bCs/>
          <w:rtl/>
        </w:rPr>
        <w:t>מדינת ישראל נ' בני עודה</w:t>
      </w:r>
      <w:r w:rsidRPr="003042EC">
        <w:rPr>
          <w:rFonts w:ascii="David" w:eastAsia="Calibri" w:hAnsi="David"/>
          <w:rtl/>
        </w:rPr>
        <w:t xml:space="preserve"> [פורסם בנבו] (16.11.2020); </w:t>
      </w:r>
      <w:r w:rsidRPr="003042EC">
        <w:rPr>
          <w:rFonts w:ascii="David" w:eastAsia="Calibri" w:hAnsi="David"/>
          <w:u w:val="single"/>
          <w:rtl/>
        </w:rPr>
        <w:t>ות"פ (שלום באר שבע)</w:t>
      </w:r>
      <w:r w:rsidRPr="003042EC">
        <w:rPr>
          <w:rFonts w:ascii="David" w:eastAsia="Calibri" w:hAnsi="David"/>
          <w:rtl/>
        </w:rPr>
        <w:t xml:space="preserve"> </w:t>
      </w:r>
      <w:r w:rsidRPr="003042EC">
        <w:rPr>
          <w:rFonts w:ascii="David" w:eastAsia="Calibri" w:hAnsi="David"/>
          <w:b/>
          <w:bCs/>
          <w:rtl/>
        </w:rPr>
        <w:t>מדינת ישראל נ' דולב אלחרט</w:t>
      </w:r>
      <w:r w:rsidRPr="003042EC">
        <w:rPr>
          <w:rFonts w:ascii="David" w:eastAsia="Calibri" w:hAnsi="David"/>
          <w:rtl/>
        </w:rPr>
        <w:t xml:space="preserve"> [פורסם בנבו] 08.12.2021)).</w:t>
      </w:r>
    </w:p>
    <w:p w:rsidR="003042EC" w:rsidRPr="003042EC" w:rsidRDefault="003042EC" w:rsidP="00383A31">
      <w:pPr>
        <w:pStyle w:val="af1"/>
        <w:numPr>
          <w:ilvl w:val="0"/>
          <w:numId w:val="2"/>
        </w:numPr>
        <w:spacing w:line="360" w:lineRule="auto"/>
        <w:ind w:left="84"/>
        <w:jc w:val="both"/>
        <w:rPr>
          <w:rFonts w:ascii="David" w:hAnsi="David"/>
          <w:rtl/>
        </w:rPr>
      </w:pPr>
      <w:r w:rsidRPr="003042EC">
        <w:rPr>
          <w:rStyle w:val="normal-h1"/>
          <w:rFonts w:ascii="David" w:hAnsi="David" w:cs="David"/>
          <w:sz w:val="24"/>
          <w:szCs w:val="24"/>
          <w:rtl/>
        </w:rPr>
        <w:t xml:space="preserve">בהמשך לכך נקבע כי יכולים להיות חריגים שבהם תינתן גושפנקא לרשות לשקול עמדתה מחדש </w:t>
      </w:r>
      <w:r w:rsidRPr="003042EC">
        <w:rPr>
          <w:rFonts w:ascii="David" w:hAnsi="David"/>
          <w:rtl/>
        </w:rPr>
        <w:t>ולחזור בה מההחלטה שלא להעמיד נאשם לדין</w:t>
      </w:r>
      <w:r w:rsidRPr="003042EC">
        <w:rPr>
          <w:rStyle w:val="normal-h1"/>
          <w:rFonts w:ascii="David" w:hAnsi="David" w:cs="David"/>
          <w:sz w:val="24"/>
          <w:szCs w:val="24"/>
          <w:rtl/>
        </w:rPr>
        <w:t xml:space="preserve"> </w:t>
      </w:r>
      <w:r w:rsidRPr="003042EC">
        <w:rPr>
          <w:rStyle w:val="normal-h1"/>
          <w:rFonts w:ascii="David" w:hAnsi="David" w:cs="David"/>
          <w:b/>
          <w:bCs/>
          <w:sz w:val="24"/>
          <w:szCs w:val="24"/>
          <w:rtl/>
        </w:rPr>
        <w:t>על בסיס אותם נתונים ממש שעמדו לנגד עיניה בהחלטתה הראשונה</w:t>
      </w:r>
      <w:r w:rsidRPr="003042EC">
        <w:rPr>
          <w:rStyle w:val="normal-h1"/>
          <w:rFonts w:ascii="David" w:hAnsi="David" w:cs="David"/>
          <w:sz w:val="24"/>
          <w:szCs w:val="24"/>
          <w:rtl/>
        </w:rPr>
        <w:t xml:space="preserve">. מקרים מעין אלו, נובעים מהתגברותו של האינטרס הציבורי על אינטרס צר יותר ועל אחת וכמה אפשרי הדבר אם השתנו הנסיבות מאז קבלת ההחלטה הראשונה ומתחייבת הערכה מחדש של העובדות או אם התגלו נתונים חדשים לרבות לקחים חדשים המצדיקים עיון מחדש, או אפילו </w:t>
      </w:r>
      <w:r w:rsidRPr="003042EC">
        <w:rPr>
          <w:rStyle w:val="normal-h1"/>
          <w:rFonts w:ascii="David" w:hAnsi="David" w:cs="David"/>
          <w:b/>
          <w:bCs/>
          <w:sz w:val="24"/>
          <w:szCs w:val="24"/>
          <w:rtl/>
        </w:rPr>
        <w:t>במקרים שבהם תהא זו פגיעה בציבור בכללותו ולעיתים אף בביטחונו אם יראו את ההחלטה הקודמת כהכרעה המקפיאה את כוח ההחלטה של הרשות</w:t>
      </w:r>
      <w:r w:rsidRPr="003042EC">
        <w:rPr>
          <w:rStyle w:val="normal-h1"/>
          <w:rFonts w:ascii="David" w:hAnsi="David" w:cs="David"/>
          <w:sz w:val="24"/>
          <w:szCs w:val="24"/>
          <w:rtl/>
        </w:rPr>
        <w:t xml:space="preserve"> (כשברוח זו פסקו </w:t>
      </w:r>
      <w:r w:rsidRPr="003042EC">
        <w:rPr>
          <w:rFonts w:ascii="David" w:eastAsia="Calibri" w:hAnsi="David"/>
          <w:rtl/>
        </w:rPr>
        <w:t>בתי</w:t>
      </w:r>
      <w:r w:rsidRPr="003042EC">
        <w:rPr>
          <w:rFonts w:ascii="David" w:eastAsia="Calibri" w:hAnsi="David"/>
          <w:vertAlign w:val="superscript"/>
          <w:rtl/>
        </w:rPr>
        <w:t>-</w:t>
      </w:r>
      <w:r w:rsidRPr="003042EC">
        <w:rPr>
          <w:rFonts w:ascii="David" w:eastAsia="Calibri" w:hAnsi="David"/>
          <w:rtl/>
        </w:rPr>
        <w:t xml:space="preserve">המשפט </w:t>
      </w:r>
      <w:r w:rsidRPr="003042EC">
        <w:rPr>
          <w:rFonts w:ascii="David" w:hAnsi="David"/>
          <w:u w:val="single"/>
          <w:rtl/>
        </w:rPr>
        <w:t xml:space="preserve">בבג"צ 6781/96 </w:t>
      </w:r>
      <w:r w:rsidRPr="003042EC">
        <w:rPr>
          <w:rFonts w:ascii="David" w:hAnsi="David"/>
          <w:b/>
          <w:bCs/>
          <w:rtl/>
        </w:rPr>
        <w:t>אהוד אולמרט נ' היועמ"ש</w:t>
      </w:r>
      <w:r w:rsidRPr="003042EC">
        <w:rPr>
          <w:rFonts w:ascii="David" w:hAnsi="David"/>
          <w:rtl/>
        </w:rPr>
        <w:t xml:space="preserve"> פ"ד נ (4) 793 (5.11.1996); </w:t>
      </w:r>
      <w:r w:rsidRPr="003042EC">
        <w:rPr>
          <w:rStyle w:val="normal-h1"/>
          <w:rFonts w:ascii="David" w:hAnsi="David" w:cs="David"/>
          <w:sz w:val="24"/>
          <w:szCs w:val="24"/>
          <w:u w:val="single"/>
          <w:rtl/>
        </w:rPr>
        <w:t xml:space="preserve">ברע"פ 2980/01 </w:t>
      </w:r>
      <w:r w:rsidRPr="003042EC">
        <w:rPr>
          <w:rStyle w:val="normal-h1"/>
          <w:rFonts w:ascii="David" w:hAnsi="David" w:cs="David"/>
          <w:b/>
          <w:bCs/>
          <w:sz w:val="24"/>
          <w:szCs w:val="24"/>
          <w:rtl/>
        </w:rPr>
        <w:t>אריה אלרואי נ' מדינת ישראל</w:t>
      </w:r>
      <w:r w:rsidRPr="003042EC">
        <w:rPr>
          <w:rStyle w:val="normal-h1"/>
          <w:rFonts w:ascii="David" w:hAnsi="David" w:cs="David"/>
          <w:sz w:val="24"/>
          <w:szCs w:val="24"/>
          <w:rtl/>
        </w:rPr>
        <w:t xml:space="preserve"> (לא פורסם, 13.05.2001) (להלן: "</w:t>
      </w:r>
      <w:r w:rsidRPr="003042EC">
        <w:rPr>
          <w:rStyle w:val="normal-h1"/>
          <w:rFonts w:ascii="David" w:hAnsi="David" w:cs="David"/>
          <w:b/>
          <w:bCs/>
          <w:sz w:val="24"/>
          <w:szCs w:val="24"/>
          <w:rtl/>
        </w:rPr>
        <w:t>פרשת אלרואי"</w:t>
      </w:r>
      <w:r w:rsidRPr="003042EC">
        <w:rPr>
          <w:rStyle w:val="normal-h1"/>
          <w:rFonts w:ascii="David" w:hAnsi="David" w:cs="David"/>
          <w:sz w:val="24"/>
          <w:szCs w:val="24"/>
          <w:rtl/>
        </w:rPr>
        <w:t xml:space="preserve">); </w:t>
      </w:r>
      <w:r w:rsidRPr="003042EC">
        <w:rPr>
          <w:rStyle w:val="normal-h1"/>
          <w:rFonts w:ascii="David" w:hAnsi="David" w:cs="David"/>
          <w:sz w:val="24"/>
          <w:szCs w:val="24"/>
          <w:u w:val="single"/>
          <w:rtl/>
        </w:rPr>
        <w:t>בע"פ (ת"א-יפו) 70114/08</w:t>
      </w:r>
      <w:r w:rsidRPr="003042EC">
        <w:rPr>
          <w:rStyle w:val="normal-h1"/>
          <w:rFonts w:ascii="David" w:hAnsi="David" w:cs="David"/>
          <w:sz w:val="24"/>
          <w:szCs w:val="24"/>
          <w:rtl/>
        </w:rPr>
        <w:t xml:space="preserve"> </w:t>
      </w:r>
      <w:r w:rsidRPr="003042EC">
        <w:rPr>
          <w:rStyle w:val="normal-h1"/>
          <w:rFonts w:ascii="David" w:hAnsi="David" w:cs="David"/>
          <w:b/>
          <w:bCs/>
          <w:sz w:val="24"/>
          <w:szCs w:val="24"/>
          <w:rtl/>
        </w:rPr>
        <w:t>מדינת ישראל</w:t>
      </w:r>
      <w:r w:rsidRPr="003042EC">
        <w:rPr>
          <w:rStyle w:val="normal-h1"/>
          <w:rFonts w:ascii="David" w:hAnsi="David" w:cs="David"/>
          <w:b/>
          <w:bCs/>
          <w:sz w:val="24"/>
          <w:szCs w:val="24"/>
          <w:u w:val="single"/>
          <w:rtl/>
        </w:rPr>
        <w:t xml:space="preserve"> </w:t>
      </w:r>
      <w:r w:rsidRPr="003042EC">
        <w:rPr>
          <w:rStyle w:val="normal-h1"/>
          <w:rFonts w:ascii="David" w:hAnsi="David" w:cs="David"/>
          <w:b/>
          <w:bCs/>
          <w:sz w:val="24"/>
          <w:szCs w:val="24"/>
          <w:rtl/>
        </w:rPr>
        <w:t>נ' מרדכי בן מרדכי</w:t>
      </w:r>
      <w:r w:rsidRPr="003042EC">
        <w:rPr>
          <w:rStyle w:val="normal-h1"/>
          <w:rFonts w:ascii="David" w:hAnsi="David" w:cs="David"/>
          <w:sz w:val="24"/>
          <w:szCs w:val="24"/>
          <w:rtl/>
        </w:rPr>
        <w:t xml:space="preserve"> [פורסם בנבו] (26.11.2008) (להלן: "</w:t>
      </w:r>
      <w:r w:rsidRPr="003042EC">
        <w:rPr>
          <w:rStyle w:val="normal-h1"/>
          <w:rFonts w:ascii="David" w:hAnsi="David" w:cs="David"/>
          <w:b/>
          <w:bCs/>
          <w:sz w:val="24"/>
          <w:szCs w:val="24"/>
          <w:rtl/>
        </w:rPr>
        <w:t>פרשת מרדכי</w:t>
      </w:r>
      <w:r w:rsidRPr="003042EC">
        <w:rPr>
          <w:rStyle w:val="normal-h1"/>
          <w:rFonts w:ascii="David" w:hAnsi="David" w:cs="David"/>
          <w:sz w:val="24"/>
          <w:szCs w:val="24"/>
          <w:rtl/>
        </w:rPr>
        <w:t>");</w:t>
      </w:r>
      <w:r w:rsidRPr="003042EC">
        <w:rPr>
          <w:rStyle w:val="normal-h1"/>
          <w:rFonts w:ascii="David" w:hAnsi="David" w:cs="David"/>
          <w:sz w:val="24"/>
          <w:szCs w:val="24"/>
          <w:u w:val="single"/>
          <w:rtl/>
        </w:rPr>
        <w:t xml:space="preserve"> בע"פ (מרכז) </w:t>
      </w:r>
      <w:r w:rsidRPr="003042EC">
        <w:rPr>
          <w:rStyle w:val="normal-h1"/>
          <w:rFonts w:ascii="David" w:hAnsi="David" w:cs="David"/>
          <w:sz w:val="24"/>
          <w:szCs w:val="24"/>
          <w:u w:val="single"/>
          <w:rtl/>
        </w:rPr>
        <w:lastRenderedPageBreak/>
        <w:t>1073-01-08</w:t>
      </w:r>
      <w:r w:rsidRPr="003042EC">
        <w:rPr>
          <w:rStyle w:val="normal-h1"/>
          <w:rFonts w:ascii="David" w:hAnsi="David" w:cs="David"/>
          <w:sz w:val="24"/>
          <w:szCs w:val="24"/>
          <w:rtl/>
        </w:rPr>
        <w:t xml:space="preserve"> </w:t>
      </w:r>
      <w:r w:rsidRPr="003042EC">
        <w:rPr>
          <w:rStyle w:val="normal-h1"/>
          <w:rFonts w:ascii="David" w:hAnsi="David" w:cs="David"/>
          <w:b/>
          <w:bCs/>
          <w:sz w:val="24"/>
          <w:szCs w:val="24"/>
          <w:rtl/>
        </w:rPr>
        <w:t xml:space="preserve">מדינת ישראל נ' אלעד מנצור </w:t>
      </w:r>
      <w:r w:rsidRPr="003042EC">
        <w:rPr>
          <w:rStyle w:val="normal-h1"/>
          <w:rFonts w:ascii="David" w:hAnsi="David" w:cs="David"/>
          <w:sz w:val="24"/>
          <w:szCs w:val="24"/>
          <w:rtl/>
        </w:rPr>
        <w:t>(לא פורסם, 16.04.2008); ו</w:t>
      </w:r>
      <w:r w:rsidRPr="003042EC">
        <w:rPr>
          <w:rStyle w:val="normal-h1"/>
          <w:rFonts w:ascii="David" w:hAnsi="David" w:cs="David"/>
          <w:sz w:val="24"/>
          <w:szCs w:val="24"/>
          <w:u w:val="single"/>
          <w:rtl/>
        </w:rPr>
        <w:t>בע"פ (נצרת) 1197/06</w:t>
      </w:r>
      <w:r w:rsidRPr="003042EC">
        <w:rPr>
          <w:rStyle w:val="normal-h1"/>
          <w:rFonts w:ascii="David" w:hAnsi="David" w:cs="David"/>
          <w:sz w:val="24"/>
          <w:szCs w:val="24"/>
          <w:rtl/>
        </w:rPr>
        <w:t xml:space="preserve"> </w:t>
      </w:r>
      <w:r w:rsidRPr="003042EC">
        <w:rPr>
          <w:rStyle w:val="normal-h1"/>
          <w:rFonts w:ascii="David" w:hAnsi="David" w:cs="David"/>
          <w:b/>
          <w:bCs/>
          <w:sz w:val="24"/>
          <w:szCs w:val="24"/>
          <w:rtl/>
        </w:rPr>
        <w:t>מדינת ישראל נ' ציפורה אלימלך</w:t>
      </w:r>
      <w:r w:rsidRPr="003042EC">
        <w:rPr>
          <w:rStyle w:val="normal-h1"/>
          <w:rFonts w:ascii="David" w:hAnsi="David" w:cs="David"/>
          <w:sz w:val="24"/>
          <w:szCs w:val="24"/>
          <w:rtl/>
        </w:rPr>
        <w:t xml:space="preserve"> (לא פורסם, 24.10.2006)</w:t>
      </w:r>
      <w:r w:rsidRPr="003042EC">
        <w:rPr>
          <w:rFonts w:ascii="David" w:hAnsi="David"/>
          <w:rtl/>
        </w:rPr>
        <w:t xml:space="preserve">. </w:t>
      </w:r>
    </w:p>
    <w:p w:rsidR="003042EC" w:rsidRPr="003042EC" w:rsidRDefault="003042EC" w:rsidP="00383A31">
      <w:pPr>
        <w:pStyle w:val="af1"/>
        <w:numPr>
          <w:ilvl w:val="0"/>
          <w:numId w:val="2"/>
        </w:numPr>
        <w:spacing w:line="360" w:lineRule="auto"/>
        <w:ind w:left="84"/>
        <w:jc w:val="both"/>
        <w:rPr>
          <w:rFonts w:ascii="David" w:eastAsia="Calibri" w:hAnsi="David"/>
        </w:rPr>
      </w:pPr>
      <w:r w:rsidRPr="003042EC">
        <w:rPr>
          <w:rFonts w:ascii="David" w:eastAsia="Calibri" w:hAnsi="David"/>
          <w:rtl/>
        </w:rPr>
        <w:t xml:space="preserve">כידוע, </w:t>
      </w:r>
      <w:r w:rsidRPr="003042EC">
        <w:rPr>
          <w:rFonts w:ascii="David" w:eastAsia="Calibri" w:hAnsi="David"/>
          <w:b/>
          <w:bCs/>
          <w:rtl/>
        </w:rPr>
        <w:t>שאלת החלתה של דוקטרינת ה'הגנה מן הצדק'</w:t>
      </w:r>
      <w:r w:rsidRPr="003042EC">
        <w:rPr>
          <w:rFonts w:ascii="David" w:eastAsia="Calibri" w:hAnsi="David"/>
          <w:rtl/>
        </w:rPr>
        <w:t xml:space="preserve"> על מקרה נתון טעונה </w:t>
      </w:r>
      <w:r w:rsidRPr="003042EC">
        <w:rPr>
          <w:rFonts w:ascii="David" w:eastAsia="Calibri" w:hAnsi="David"/>
          <w:b/>
          <w:bCs/>
          <w:rtl/>
        </w:rPr>
        <w:t>בחינה בת שלושה שלבים:</w:t>
      </w:r>
      <w:r w:rsidRPr="003042EC">
        <w:rPr>
          <w:rFonts w:ascii="David" w:eastAsia="Calibri" w:hAnsi="David"/>
          <w:rtl/>
        </w:rPr>
        <w:t xml:space="preserve"> בשלב הראשון, על בית</w:t>
      </w:r>
      <w:r w:rsidRPr="003042EC">
        <w:rPr>
          <w:rFonts w:ascii="David" w:eastAsia="Calibri" w:hAnsi="David"/>
          <w:vertAlign w:val="superscript"/>
          <w:rtl/>
        </w:rPr>
        <w:t>-</w:t>
      </w:r>
      <w:r w:rsidRPr="003042EC">
        <w:rPr>
          <w:rFonts w:ascii="David" w:eastAsia="Calibri" w:hAnsi="David"/>
          <w:rtl/>
        </w:rPr>
        <w:t xml:space="preserve">המשפט </w:t>
      </w:r>
      <w:r w:rsidRPr="003042EC">
        <w:rPr>
          <w:rFonts w:ascii="David" w:eastAsia="Calibri" w:hAnsi="David"/>
          <w:b/>
          <w:bCs/>
          <w:rtl/>
        </w:rPr>
        <w:t>לזהות את הפגמים שנפלו (אם נפלו) בהליכים שננקטו בעניינו של הנאשם</w:t>
      </w:r>
      <w:r w:rsidRPr="003042EC">
        <w:rPr>
          <w:rFonts w:ascii="David" w:eastAsia="Calibri" w:hAnsi="David"/>
          <w:rtl/>
        </w:rPr>
        <w:t xml:space="preserve"> ולעמוד על עוצמתם במנותק משאלת אשמתו או חפותו; בשלב השני, על בית</w:t>
      </w:r>
      <w:r w:rsidRPr="003042EC">
        <w:rPr>
          <w:rFonts w:ascii="David" w:eastAsia="Calibri" w:hAnsi="David"/>
          <w:vertAlign w:val="superscript"/>
          <w:rtl/>
        </w:rPr>
        <w:t>-</w:t>
      </w:r>
      <w:r w:rsidRPr="003042EC">
        <w:rPr>
          <w:rFonts w:ascii="David" w:eastAsia="Calibri" w:hAnsi="David"/>
          <w:rtl/>
        </w:rPr>
        <w:t xml:space="preserve">המשפט לבחון אם בקיומו של ההליך הפלילי חרף הפגמים יש משום </w:t>
      </w:r>
      <w:r w:rsidRPr="003042EC">
        <w:rPr>
          <w:rFonts w:ascii="David" w:eastAsia="Calibri" w:hAnsi="David"/>
          <w:b/>
          <w:bCs/>
          <w:rtl/>
        </w:rPr>
        <w:t>פגיעה חריפה בתחושת הצדק וההגינות</w:t>
      </w:r>
      <w:r w:rsidRPr="003042EC">
        <w:rPr>
          <w:rFonts w:ascii="David" w:eastAsia="Calibri" w:hAnsi="David"/>
          <w:rtl/>
        </w:rPr>
        <w:t>. בשלב זה נדרש בית</w:t>
      </w:r>
      <w:r w:rsidRPr="003042EC">
        <w:rPr>
          <w:rFonts w:ascii="David" w:eastAsia="Calibri" w:hAnsi="David"/>
          <w:vertAlign w:val="superscript"/>
          <w:rtl/>
        </w:rPr>
        <w:t>-</w:t>
      </w:r>
      <w:r w:rsidRPr="003042EC">
        <w:rPr>
          <w:rFonts w:ascii="David" w:eastAsia="Calibri" w:hAnsi="David"/>
          <w:rtl/>
        </w:rPr>
        <w:t>המשפט לאזן בין האינטרסים השונים הכרוכים בקיומו של ההליך הפלילי, תוך שהוא נותן את דעתו לנסיבותיו הקונקרטיות של ההליך המתקיים לפניו; ובשלב השלישי, מששוכנע בית</w:t>
      </w:r>
      <w:r w:rsidRPr="003042EC">
        <w:rPr>
          <w:rFonts w:ascii="David" w:eastAsia="Calibri" w:hAnsi="David"/>
          <w:vertAlign w:val="superscript"/>
          <w:rtl/>
        </w:rPr>
        <w:t>-</w:t>
      </w:r>
      <w:r w:rsidRPr="003042EC">
        <w:rPr>
          <w:rFonts w:ascii="David" w:eastAsia="Calibri" w:hAnsi="David"/>
          <w:rtl/>
        </w:rPr>
        <w:t xml:space="preserve">המשפט כי קיומו של ההליך אכן כרוך בפגיעה חריפה בתחושת הצדק וההגינות, עליו לבחון אם לא </w:t>
      </w:r>
      <w:r w:rsidRPr="003042EC">
        <w:rPr>
          <w:rFonts w:ascii="David" w:eastAsia="Calibri" w:hAnsi="David"/>
          <w:b/>
          <w:bCs/>
          <w:rtl/>
        </w:rPr>
        <w:t>ניתן לרפא את הפגמים שנתגלו באמצעים מתונים ומידתיים</w:t>
      </w:r>
      <w:r w:rsidRPr="003042EC">
        <w:rPr>
          <w:rFonts w:ascii="David" w:eastAsia="Calibri" w:hAnsi="David"/>
          <w:rtl/>
        </w:rPr>
        <w:t xml:space="preserve"> יותר מביטולו של כתב</w:t>
      </w:r>
      <w:r w:rsidRPr="003042EC">
        <w:rPr>
          <w:rFonts w:ascii="David" w:eastAsia="Calibri" w:hAnsi="David"/>
          <w:vertAlign w:val="superscript"/>
          <w:rtl/>
        </w:rPr>
        <w:t>-</w:t>
      </w:r>
      <w:r w:rsidRPr="003042EC">
        <w:rPr>
          <w:rFonts w:ascii="David" w:eastAsia="Calibri" w:hAnsi="David"/>
          <w:rtl/>
        </w:rPr>
        <w:t xml:space="preserve">האישום (ראו, </w:t>
      </w:r>
      <w:r w:rsidRPr="003042EC">
        <w:rPr>
          <w:rFonts w:ascii="David" w:eastAsia="Calibri" w:hAnsi="David"/>
          <w:b/>
          <w:bCs/>
          <w:rtl/>
        </w:rPr>
        <w:t>עניין גטצאו</w:t>
      </w:r>
      <w:r w:rsidRPr="003042EC">
        <w:rPr>
          <w:rFonts w:ascii="David" w:eastAsia="Calibri" w:hAnsi="David"/>
          <w:rtl/>
        </w:rPr>
        <w:t>, ו</w:t>
      </w:r>
      <w:r w:rsidRPr="003042EC">
        <w:rPr>
          <w:rFonts w:ascii="David" w:eastAsia="Calibri" w:hAnsi="David"/>
          <w:b/>
          <w:bCs/>
          <w:rtl/>
        </w:rPr>
        <w:t xml:space="preserve">עניין בורוביץ, </w:t>
      </w:r>
      <w:r w:rsidRPr="003042EC">
        <w:rPr>
          <w:rFonts w:ascii="David" w:eastAsia="Calibri" w:hAnsi="David"/>
          <w:rtl/>
        </w:rPr>
        <w:t xml:space="preserve">לעיל). </w:t>
      </w:r>
    </w:p>
    <w:p w:rsidR="003042EC" w:rsidRPr="003042EC" w:rsidRDefault="003042EC" w:rsidP="00383A31">
      <w:pPr>
        <w:pStyle w:val="af1"/>
        <w:numPr>
          <w:ilvl w:val="0"/>
          <w:numId w:val="2"/>
        </w:numPr>
        <w:spacing w:line="360" w:lineRule="auto"/>
        <w:ind w:left="84" w:hanging="425"/>
        <w:jc w:val="both"/>
        <w:rPr>
          <w:rFonts w:ascii="David" w:eastAsia="Calibri" w:hAnsi="David"/>
        </w:rPr>
      </w:pPr>
      <w:r w:rsidRPr="003042EC">
        <w:rPr>
          <w:rFonts w:ascii="David" w:eastAsia="Calibri" w:hAnsi="David"/>
          <w:rtl/>
        </w:rPr>
        <w:t xml:space="preserve">הנה כי כן, אבחן תחילה את </w:t>
      </w:r>
      <w:r w:rsidRPr="003042EC">
        <w:rPr>
          <w:rFonts w:ascii="David" w:eastAsia="Calibri" w:hAnsi="David"/>
          <w:b/>
          <w:bCs/>
          <w:u w:val="single"/>
          <w:rtl/>
        </w:rPr>
        <w:t>המבחן הראשון</w:t>
      </w:r>
      <w:r w:rsidRPr="003042EC">
        <w:rPr>
          <w:rFonts w:ascii="David" w:eastAsia="Calibri" w:hAnsi="David"/>
          <w:b/>
          <w:bCs/>
          <w:rtl/>
        </w:rPr>
        <w:t xml:space="preserve"> לתחולתה של טענת ה'הגנה מן הצדק' על המקרה שלפנינו </w:t>
      </w:r>
      <w:r w:rsidRPr="003042EC">
        <w:rPr>
          <w:rFonts w:ascii="David" w:eastAsia="Calibri" w:hAnsi="David"/>
          <w:rtl/>
        </w:rPr>
        <w:t xml:space="preserve">ואבדוק האם נפל פגם </w:t>
      </w:r>
      <w:r w:rsidRPr="003042EC">
        <w:rPr>
          <w:rFonts w:ascii="David" w:hAnsi="David"/>
          <w:rtl/>
        </w:rPr>
        <w:t>בחזרתה של המאשימה מההחלטה שלא להעמיד את הנאשם לדין</w:t>
      </w:r>
      <w:r w:rsidRPr="003042EC">
        <w:rPr>
          <w:rFonts w:ascii="David" w:eastAsia="Calibri" w:hAnsi="David"/>
          <w:rtl/>
        </w:rPr>
        <w:t>.</w:t>
      </w:r>
    </w:p>
    <w:p w:rsidR="003042EC" w:rsidRPr="003042EC" w:rsidRDefault="003042EC" w:rsidP="00383A31">
      <w:pPr>
        <w:numPr>
          <w:ilvl w:val="0"/>
          <w:numId w:val="2"/>
        </w:numPr>
        <w:spacing w:line="360" w:lineRule="auto"/>
        <w:ind w:left="43" w:hanging="425"/>
        <w:contextualSpacing/>
        <w:jc w:val="both"/>
        <w:rPr>
          <w:rFonts w:ascii="David" w:eastAsia="Calibri" w:hAnsi="David"/>
          <w:color w:val="FF0000"/>
        </w:rPr>
      </w:pPr>
      <w:r w:rsidRPr="003042EC">
        <w:rPr>
          <w:rFonts w:ascii="David" w:hAnsi="David"/>
          <w:rtl/>
        </w:rPr>
        <w:t xml:space="preserve">כאמור זה מכבר, ההגנה הצביעה על מגוון פגמים שנפלו במעשי המאשימה המצדיקים את בקשתה לביטולו של כתב האישום והנסמכת על כמה אדנים מהותיים ופרוצדוראליים מרכזיים: הראשון שבהם, הינו אדן מהותי ושעניינו </w:t>
      </w:r>
      <w:r w:rsidRPr="003042EC">
        <w:rPr>
          <w:rFonts w:ascii="David" w:hAnsi="David"/>
          <w:b/>
          <w:bCs/>
          <w:rtl/>
        </w:rPr>
        <w:t>העדר ראיות או נסיבות חדשות</w:t>
      </w:r>
      <w:r w:rsidRPr="003042EC">
        <w:rPr>
          <w:rFonts w:ascii="David" w:hAnsi="David"/>
          <w:rtl/>
        </w:rPr>
        <w:t xml:space="preserve"> שהצדיקו את פתיחת התיק מחדש; האדן השני הינו פרוצדוראלי בעיקרו ונוגע </w:t>
      </w:r>
      <w:r w:rsidRPr="003042EC">
        <w:rPr>
          <w:rFonts w:ascii="David" w:hAnsi="David"/>
          <w:b/>
          <w:bCs/>
          <w:rtl/>
        </w:rPr>
        <w:t>לשאלת הגשת הערר</w:t>
      </w:r>
      <w:r w:rsidRPr="003042EC">
        <w:rPr>
          <w:rFonts w:ascii="David" w:hAnsi="David"/>
          <w:rtl/>
        </w:rPr>
        <w:t>. בעניין זה נטען כי לא הוגש על</w:t>
      </w:r>
      <w:r w:rsidRPr="003042EC">
        <w:rPr>
          <w:rFonts w:ascii="David" w:eastAsia="Calibri" w:hAnsi="David"/>
          <w:vertAlign w:val="superscript"/>
          <w:rtl/>
        </w:rPr>
        <w:t>-</w:t>
      </w:r>
      <w:r w:rsidRPr="003042EC">
        <w:rPr>
          <w:rFonts w:ascii="David" w:eastAsia="Calibri" w:hAnsi="David"/>
          <w:rtl/>
        </w:rPr>
        <w:t xml:space="preserve">ידי </w:t>
      </w:r>
      <w:r w:rsidRPr="003042EC">
        <w:rPr>
          <w:rFonts w:ascii="David" w:hAnsi="David"/>
          <w:rtl/>
        </w:rPr>
        <w:t xml:space="preserve">המתלונן כל ערר פורמאלי שהצדיק את חזרתה של המאשימה מהחלטתה לסגור את התיק, וכי ככל שבית המשפט יקבע כי ניתן להכתיר את מכתבו של בא כוחו של המתלונן כ'ערר', הרי שזה הוגש בשיהוי ובחלוף פרק זמן ארוך יותר מזה המתאפשר בחוק. </w:t>
      </w:r>
    </w:p>
    <w:p w:rsidR="003042EC" w:rsidRPr="003042EC" w:rsidRDefault="003042EC" w:rsidP="00383A31">
      <w:pPr>
        <w:spacing w:line="360" w:lineRule="auto"/>
        <w:ind w:left="43"/>
        <w:contextualSpacing/>
        <w:jc w:val="both"/>
        <w:rPr>
          <w:rFonts w:ascii="David" w:eastAsia="Calibri" w:hAnsi="David"/>
        </w:rPr>
      </w:pPr>
      <w:r w:rsidRPr="003042EC">
        <w:rPr>
          <w:rFonts w:ascii="David" w:hAnsi="David"/>
          <w:rtl/>
        </w:rPr>
        <w:t xml:space="preserve">האדן השלישי אף הוא פרוצדוראלי בעיקרו ונוגע </w:t>
      </w:r>
      <w:r w:rsidRPr="003042EC">
        <w:rPr>
          <w:rFonts w:ascii="David" w:hAnsi="David"/>
          <w:b/>
          <w:bCs/>
          <w:rtl/>
        </w:rPr>
        <w:t>להימנעותה של המאשימה לשלוח לנאשם מכתב 'יידוע' או הודעה פורמאלית בדבר הגשת הערר והאפשרות לפתיחת התיק מחדש</w:t>
      </w:r>
      <w:r w:rsidRPr="003042EC">
        <w:rPr>
          <w:rFonts w:ascii="David" w:hAnsi="David"/>
          <w:rtl/>
        </w:rPr>
        <w:t xml:space="preserve"> </w:t>
      </w:r>
      <w:r w:rsidRPr="003042EC">
        <w:rPr>
          <w:rFonts w:ascii="David" w:hAnsi="David"/>
          <w:b/>
          <w:bCs/>
          <w:rtl/>
        </w:rPr>
        <w:t>כנגדו,</w:t>
      </w:r>
      <w:r w:rsidRPr="003042EC">
        <w:rPr>
          <w:rFonts w:ascii="David" w:hAnsi="David"/>
          <w:rtl/>
        </w:rPr>
        <w:t xml:space="preserve"> כשבנסיבות אלו נפגעה זכות השימוע של הנאשם ולא ניתנה לו הזדמנות להשמיע את השגותיו טרם פתיחת התיק מחדש. בשל כל אלה נטען כי בנסיבות אלו החלטת המאשימה לפתיחת התיק מחדש נגועה בחוסר סמכות</w:t>
      </w:r>
      <w:r w:rsidRPr="003042EC">
        <w:rPr>
          <w:rFonts w:ascii="David" w:eastAsia="Calibri" w:hAnsi="David"/>
          <w:rtl/>
        </w:rPr>
        <w:t>.</w:t>
      </w:r>
    </w:p>
    <w:p w:rsidR="003042EC" w:rsidRPr="003042EC" w:rsidRDefault="003042EC" w:rsidP="00383A31">
      <w:pPr>
        <w:pStyle w:val="af1"/>
        <w:numPr>
          <w:ilvl w:val="0"/>
          <w:numId w:val="2"/>
        </w:numPr>
        <w:spacing w:line="360" w:lineRule="auto"/>
        <w:ind w:left="43" w:hanging="425"/>
        <w:jc w:val="both"/>
        <w:rPr>
          <w:rFonts w:ascii="David" w:eastAsia="Calibri" w:hAnsi="David"/>
        </w:rPr>
      </w:pPr>
      <w:r w:rsidRPr="003042EC">
        <w:rPr>
          <w:rFonts w:ascii="David" w:hAnsi="David"/>
          <w:b/>
          <w:bCs/>
          <w:rtl/>
        </w:rPr>
        <w:t xml:space="preserve">ראשית, ובכל הנוגע לפגם הנטען שנפל בפעולת התביעה שעניינו פתיחת התיק מחדש בהעדר ראיות או נסיבות חדשות, </w:t>
      </w:r>
      <w:r w:rsidRPr="003042EC">
        <w:rPr>
          <w:rFonts w:ascii="David" w:hAnsi="David"/>
          <w:rtl/>
        </w:rPr>
        <w:t>הרי שכפי שצוין זה מכבר ב</w:t>
      </w:r>
      <w:r w:rsidRPr="003042EC">
        <w:rPr>
          <w:rFonts w:ascii="David" w:hAnsi="David"/>
          <w:b/>
          <w:bCs/>
          <w:rtl/>
        </w:rPr>
        <w:t>פרשת דותן</w:t>
      </w:r>
      <w:r w:rsidRPr="003042EC">
        <w:rPr>
          <w:rStyle w:val="normal-h1"/>
          <w:rFonts w:ascii="David" w:hAnsi="David" w:cs="David"/>
          <w:sz w:val="24"/>
          <w:szCs w:val="24"/>
          <w:rtl/>
        </w:rPr>
        <w:t xml:space="preserve"> לעיל, נקבע כי אין מניעה שרשות מנהלית כלשהי, ולעניין זה גם גוף חוקר הוא רשות מנהלית, ישוב וישקול את החלטתו פעם נוספת, וכי יכולים להיות חריגים שבהם תינתן גושפנקא לרשות לשקול עמדתה מחדש </w:t>
      </w:r>
      <w:r w:rsidRPr="003042EC">
        <w:rPr>
          <w:rFonts w:ascii="David" w:hAnsi="David"/>
          <w:rtl/>
        </w:rPr>
        <w:t>ולחזור בה מההחלטה שלא להעמיד נאשם לדין</w:t>
      </w:r>
      <w:r w:rsidRPr="003042EC">
        <w:rPr>
          <w:rStyle w:val="normal-h1"/>
          <w:rFonts w:ascii="David" w:hAnsi="David" w:cs="David"/>
          <w:sz w:val="24"/>
          <w:szCs w:val="24"/>
          <w:rtl/>
        </w:rPr>
        <w:t xml:space="preserve"> </w:t>
      </w:r>
      <w:r w:rsidRPr="003042EC">
        <w:rPr>
          <w:rStyle w:val="normal-h1"/>
          <w:rFonts w:ascii="David" w:hAnsi="David" w:cs="David"/>
          <w:b/>
          <w:bCs/>
          <w:sz w:val="24"/>
          <w:szCs w:val="24"/>
          <w:rtl/>
        </w:rPr>
        <w:t>על בסיס אותם נתונים ממש שעמדו לנגד עיניה בהחלטתה הראשונה</w:t>
      </w:r>
      <w:r w:rsidRPr="003042EC">
        <w:rPr>
          <w:rStyle w:val="normal-h1"/>
          <w:rFonts w:ascii="David" w:hAnsi="David" w:cs="David"/>
          <w:sz w:val="24"/>
          <w:szCs w:val="24"/>
          <w:rtl/>
        </w:rPr>
        <w:t xml:space="preserve">. במקרה שמונח לפתחי, מצאתי לקבל את עמדת המאשימה, לפיה עם קבלת מכתבו של המתלונן (באמצעות בא כוחו), התחייבה הערכה מחדש של העובדות בתיק החקירה וכי חרף העובדה כי לא התגלו עובדות חדשות, הרי </w:t>
      </w:r>
      <w:r w:rsidRPr="003042EC">
        <w:rPr>
          <w:rFonts w:ascii="David" w:hAnsi="David"/>
          <w:rtl/>
        </w:rPr>
        <w:t xml:space="preserve">שנוכח העובדה כי מדובר </w:t>
      </w:r>
      <w:r w:rsidRPr="003042EC">
        <w:rPr>
          <w:rFonts w:ascii="David" w:hAnsi="David"/>
          <w:b/>
          <w:bCs/>
          <w:rtl/>
        </w:rPr>
        <w:t>בעבירת אלימות חמורה,</w:t>
      </w:r>
      <w:r w:rsidRPr="003042EC">
        <w:rPr>
          <w:rFonts w:ascii="David" w:hAnsi="David"/>
          <w:rtl/>
        </w:rPr>
        <w:t xml:space="preserve"> המסכנת חיי אדם שבה נגרמו </w:t>
      </w:r>
      <w:r w:rsidRPr="003042EC">
        <w:rPr>
          <w:rFonts w:ascii="David" w:hAnsi="David"/>
          <w:rtl/>
        </w:rPr>
        <w:lastRenderedPageBreak/>
        <w:t xml:space="preserve">למתלונן חבלות חמורות גבר האינטרס הציבורי בבירור האישום, על פני האינטרס הצר של הנאשם, שהצדיק את פתיחתו מחדש של התיק הפלילי שנסגר כנגדו. </w:t>
      </w:r>
    </w:p>
    <w:p w:rsidR="003042EC" w:rsidRPr="003042EC" w:rsidRDefault="003042EC" w:rsidP="00383A31">
      <w:pPr>
        <w:numPr>
          <w:ilvl w:val="0"/>
          <w:numId w:val="2"/>
        </w:numPr>
        <w:spacing w:line="360" w:lineRule="auto"/>
        <w:ind w:left="43" w:hanging="425"/>
        <w:contextualSpacing/>
        <w:jc w:val="both"/>
        <w:rPr>
          <w:rFonts w:ascii="David" w:eastAsia="Calibri" w:hAnsi="David"/>
        </w:rPr>
      </w:pPr>
      <w:r w:rsidRPr="003042EC">
        <w:rPr>
          <w:rFonts w:ascii="David" w:eastAsia="Calibri" w:hAnsi="David"/>
          <w:b/>
          <w:bCs/>
          <w:rtl/>
        </w:rPr>
        <w:t xml:space="preserve">שנית, ובכל הנוגע לפגם הנטען שנפל בפעולת התביעה עת התיק נפתח </w:t>
      </w:r>
      <w:r w:rsidRPr="003042EC">
        <w:rPr>
          <w:rFonts w:ascii="David" w:hAnsi="David"/>
          <w:b/>
          <w:bCs/>
          <w:rtl/>
        </w:rPr>
        <w:t>על</w:t>
      </w:r>
      <w:r w:rsidRPr="003042EC">
        <w:rPr>
          <w:rFonts w:ascii="David" w:eastAsia="Calibri" w:hAnsi="David"/>
          <w:b/>
          <w:bCs/>
          <w:vertAlign w:val="superscript"/>
          <w:rtl/>
        </w:rPr>
        <w:t>-</w:t>
      </w:r>
      <w:r w:rsidRPr="003042EC">
        <w:rPr>
          <w:rFonts w:ascii="David" w:eastAsia="Calibri" w:hAnsi="David"/>
          <w:b/>
          <w:bCs/>
          <w:rtl/>
        </w:rPr>
        <w:t>ידיה לאחר שנסגר בהעדר הגשת ערר פורמאלי מטעם המתלונן</w:t>
      </w:r>
      <w:r w:rsidRPr="003042EC">
        <w:rPr>
          <w:rFonts w:ascii="David" w:eastAsia="Calibri" w:hAnsi="David"/>
          <w:rtl/>
        </w:rPr>
        <w:t xml:space="preserve">, הרי </w:t>
      </w:r>
      <w:r w:rsidRPr="003042EC">
        <w:rPr>
          <w:rFonts w:ascii="David" w:hAnsi="David"/>
          <w:rtl/>
        </w:rPr>
        <w:t xml:space="preserve">שבעניין זה, אזכיר מושכלות ראשונים, </w:t>
      </w:r>
      <w:r w:rsidRPr="003042EC">
        <w:rPr>
          <w:rFonts w:ascii="David" w:eastAsia="Calibri" w:hAnsi="David"/>
          <w:rtl/>
        </w:rPr>
        <w:t xml:space="preserve">לפיהם </w:t>
      </w:r>
      <w:r w:rsidRPr="003042EC">
        <w:rPr>
          <w:rStyle w:val="normal-h1"/>
          <w:rFonts w:ascii="David" w:hAnsi="David" w:cs="David"/>
          <w:sz w:val="24"/>
          <w:szCs w:val="24"/>
          <w:rtl/>
        </w:rPr>
        <w:t xml:space="preserve">התביעה רשאית לשקול עמדתה מחדש </w:t>
      </w:r>
      <w:r w:rsidRPr="003042EC">
        <w:rPr>
          <w:rFonts w:ascii="David" w:hAnsi="David"/>
          <w:rtl/>
        </w:rPr>
        <w:t>ולחזור בה מההחלטה שלא להעמיד נאשם לדין</w:t>
      </w:r>
      <w:r w:rsidRPr="003042EC">
        <w:rPr>
          <w:rStyle w:val="normal-h1"/>
          <w:rFonts w:ascii="David" w:hAnsi="David" w:cs="David"/>
          <w:sz w:val="24"/>
          <w:szCs w:val="24"/>
          <w:rtl/>
        </w:rPr>
        <w:t xml:space="preserve">, והיא </w:t>
      </w:r>
      <w:r w:rsidRPr="003042EC">
        <w:rPr>
          <w:rFonts w:ascii="David" w:hAnsi="David"/>
          <w:rtl/>
        </w:rPr>
        <w:t xml:space="preserve">יכולה לעשות כן בשתי דרכים. </w:t>
      </w:r>
      <w:r w:rsidRPr="003042EC">
        <w:rPr>
          <w:rFonts w:ascii="David" w:hAnsi="David"/>
          <w:b/>
          <w:bCs/>
          <w:rtl/>
        </w:rPr>
        <w:t>האחת</w:t>
      </w:r>
      <w:r w:rsidRPr="003042EC">
        <w:rPr>
          <w:rFonts w:ascii="David" w:hAnsi="David"/>
          <w:rtl/>
        </w:rPr>
        <w:t>, בעקבות הגשת ערר על</w:t>
      </w:r>
      <w:r w:rsidRPr="003042EC">
        <w:rPr>
          <w:rFonts w:ascii="David" w:eastAsia="Calibri" w:hAnsi="David"/>
          <w:vertAlign w:val="superscript"/>
          <w:rtl/>
        </w:rPr>
        <w:t>-</w:t>
      </w:r>
      <w:r w:rsidRPr="003042EC">
        <w:rPr>
          <w:rFonts w:ascii="David" w:eastAsia="Calibri" w:hAnsi="David"/>
          <w:rtl/>
        </w:rPr>
        <w:t xml:space="preserve">ידי </w:t>
      </w:r>
      <w:r w:rsidRPr="003042EC">
        <w:rPr>
          <w:rFonts w:ascii="David" w:hAnsi="David"/>
          <w:rtl/>
        </w:rPr>
        <w:t xml:space="preserve">המתלונן על ההחלטה לסגור את תיק החקירה, וזאת בהתאם לסעיף 64 </w:t>
      </w:r>
      <w:r w:rsidRPr="003042EC">
        <w:rPr>
          <w:rFonts w:ascii="David" w:hAnsi="David"/>
          <w:u w:val="single"/>
          <w:rtl/>
        </w:rPr>
        <w:t>לחסד"פ,</w:t>
      </w:r>
      <w:r w:rsidRPr="003042EC">
        <w:rPr>
          <w:rFonts w:ascii="David" w:hAnsi="David"/>
          <w:rtl/>
        </w:rPr>
        <w:t xml:space="preserve"> שכותרתו: </w:t>
      </w:r>
      <w:r w:rsidRPr="003042EC">
        <w:rPr>
          <w:rFonts w:ascii="David" w:hAnsi="David"/>
          <w:b/>
          <w:bCs/>
          <w:rtl/>
        </w:rPr>
        <w:t>'ערר</w:t>
      </w:r>
      <w:r w:rsidRPr="003042EC">
        <w:rPr>
          <w:rFonts w:ascii="David" w:hAnsi="David"/>
          <w:rtl/>
        </w:rPr>
        <w:t xml:space="preserve">' הקובע </w:t>
      </w:r>
      <w:r w:rsidRPr="003042EC">
        <w:rPr>
          <w:rFonts w:ascii="David" w:eastAsia="Calibri" w:hAnsi="David"/>
          <w:rtl/>
        </w:rPr>
        <w:t>כך:</w:t>
      </w:r>
    </w:p>
    <w:p w:rsidR="003042EC" w:rsidRPr="003042EC" w:rsidRDefault="003042EC" w:rsidP="00383A31">
      <w:pPr>
        <w:spacing w:line="360" w:lineRule="auto"/>
        <w:ind w:left="1218" w:right="1560"/>
        <w:contextualSpacing/>
        <w:jc w:val="both"/>
        <w:rPr>
          <w:rFonts w:ascii="David" w:eastAsia="Calibri" w:hAnsi="David"/>
          <w:b/>
          <w:bCs/>
          <w:rtl/>
        </w:rPr>
      </w:pPr>
      <w:r w:rsidRPr="003042EC">
        <w:rPr>
          <w:rFonts w:ascii="David" w:eastAsia="Calibri" w:hAnsi="David"/>
          <w:b/>
          <w:bCs/>
          <w:rtl/>
        </w:rPr>
        <w:t>64.   (א)  על החלטה שלא לחקור או שלא להעמיד לדין, משום שנסיבות העניין בכללותן אינן מתאימות לפתיחה בחקירה או להעמידה לדין, לפי העניין, שלא נמצאו ראיות מספיקות או שנקבע שאין אשמה, רשאי המתלונן לערור כלהלן:</w:t>
      </w:r>
    </w:p>
    <w:p w:rsidR="003042EC" w:rsidRPr="003042EC" w:rsidRDefault="003042EC" w:rsidP="00383A31">
      <w:pPr>
        <w:spacing w:line="360" w:lineRule="auto"/>
        <w:ind w:left="1218" w:right="1560"/>
        <w:contextualSpacing/>
        <w:jc w:val="both"/>
        <w:rPr>
          <w:rFonts w:ascii="David" w:eastAsia="Calibri" w:hAnsi="David"/>
          <w:b/>
          <w:bCs/>
          <w:rtl/>
        </w:rPr>
      </w:pPr>
    </w:p>
    <w:p w:rsidR="003042EC" w:rsidRPr="003042EC" w:rsidRDefault="003042EC" w:rsidP="00383A31">
      <w:pPr>
        <w:spacing w:line="360" w:lineRule="auto"/>
        <w:ind w:left="1218" w:right="1560"/>
        <w:contextualSpacing/>
        <w:jc w:val="both"/>
        <w:rPr>
          <w:rFonts w:ascii="David" w:eastAsia="Calibri" w:hAnsi="David"/>
          <w:b/>
          <w:bCs/>
          <w:rtl/>
        </w:rPr>
      </w:pPr>
      <w:r w:rsidRPr="003042EC">
        <w:rPr>
          <w:rFonts w:ascii="David" w:eastAsia="Calibri" w:hAnsi="David"/>
          <w:b/>
          <w:bCs/>
          <w:rtl/>
        </w:rPr>
        <w:t>(תיקון מס' 33) (תיקון) תשס"ד-2004 (תיקון מס' 33) (תיקון מס' 2) תשס"ד-2004</w:t>
      </w:r>
    </w:p>
    <w:p w:rsidR="003042EC" w:rsidRPr="003042EC" w:rsidRDefault="003042EC" w:rsidP="00383A31">
      <w:pPr>
        <w:spacing w:line="360" w:lineRule="auto"/>
        <w:ind w:left="1218" w:right="1560"/>
        <w:contextualSpacing/>
        <w:jc w:val="both"/>
        <w:rPr>
          <w:rFonts w:ascii="David" w:eastAsia="Calibri" w:hAnsi="David"/>
          <w:b/>
          <w:bCs/>
          <w:rtl/>
        </w:rPr>
      </w:pPr>
    </w:p>
    <w:p w:rsidR="003042EC" w:rsidRPr="003042EC" w:rsidRDefault="003042EC" w:rsidP="00383A31">
      <w:pPr>
        <w:pStyle w:val="af1"/>
        <w:numPr>
          <w:ilvl w:val="0"/>
          <w:numId w:val="3"/>
        </w:numPr>
        <w:spacing w:line="360" w:lineRule="auto"/>
        <w:ind w:left="1218" w:right="1560"/>
        <w:jc w:val="both"/>
        <w:rPr>
          <w:rFonts w:ascii="David" w:eastAsia="Calibri" w:hAnsi="David"/>
          <w:b/>
          <w:bCs/>
          <w:rtl/>
        </w:rPr>
      </w:pPr>
      <w:r w:rsidRPr="003042EC">
        <w:rPr>
          <w:rFonts w:ascii="David" w:eastAsia="Calibri" w:hAnsi="David"/>
          <w:b/>
          <w:bCs/>
          <w:rtl/>
        </w:rPr>
        <w:t>על החלטה שניתנה על ידי גוף חוקר או תובע כאמור בסעיף 12(א)(1)(ב) או (2) – לפני פרקליט מחוז, פרקליט מפרקליטות המדינה שמונה למנהל תחום עררים או פרקליט מפרקליטות המדינה, בדרגה שאינה פחותה מסגן בכיר א' לפרקליט המדינה, שפרקליט המדינה הסמיכו לכך;</w:t>
      </w:r>
    </w:p>
    <w:p w:rsidR="003042EC" w:rsidRPr="003042EC" w:rsidRDefault="003042EC" w:rsidP="00383A31">
      <w:pPr>
        <w:pStyle w:val="af1"/>
        <w:spacing w:line="360" w:lineRule="auto"/>
        <w:ind w:left="1243" w:right="1560"/>
        <w:jc w:val="both"/>
        <w:rPr>
          <w:rFonts w:ascii="David" w:eastAsia="Calibri" w:hAnsi="David"/>
          <w:b/>
          <w:bCs/>
        </w:rPr>
      </w:pPr>
    </w:p>
    <w:p w:rsidR="003042EC" w:rsidRPr="003042EC" w:rsidRDefault="003042EC" w:rsidP="00383A31">
      <w:pPr>
        <w:spacing w:line="360" w:lineRule="auto"/>
        <w:ind w:left="43"/>
        <w:contextualSpacing/>
        <w:jc w:val="both"/>
        <w:rPr>
          <w:rFonts w:ascii="David" w:eastAsia="Calibri" w:hAnsi="David"/>
        </w:rPr>
      </w:pPr>
      <w:r w:rsidRPr="003042EC">
        <w:rPr>
          <w:rFonts w:ascii="David" w:hAnsi="David"/>
          <w:b/>
          <w:bCs/>
          <w:rtl/>
        </w:rPr>
        <w:t>והשנייה</w:t>
      </w:r>
      <w:r w:rsidRPr="003042EC">
        <w:rPr>
          <w:rFonts w:ascii="David" w:hAnsi="David"/>
          <w:rtl/>
        </w:rPr>
        <w:t xml:space="preserve">, מכוח סעיף 15 </w:t>
      </w:r>
      <w:r w:rsidRPr="003042EC">
        <w:rPr>
          <w:rFonts w:ascii="David" w:hAnsi="David"/>
          <w:u w:val="single"/>
          <w:rtl/>
        </w:rPr>
        <w:t>לחוק הפרשנות, תשמ"א-1981</w:t>
      </w:r>
      <w:r w:rsidRPr="003042EC">
        <w:rPr>
          <w:rFonts w:ascii="David" w:hAnsi="David"/>
          <w:rtl/>
        </w:rPr>
        <w:t xml:space="preserve"> (להלן: "</w:t>
      </w:r>
      <w:r w:rsidRPr="003042EC">
        <w:rPr>
          <w:rFonts w:ascii="David" w:hAnsi="David"/>
          <w:b/>
          <w:bCs/>
          <w:u w:val="single"/>
          <w:rtl/>
        </w:rPr>
        <w:t>חוק הפרשנות"</w:t>
      </w:r>
      <w:r w:rsidRPr="003042EC">
        <w:rPr>
          <w:rFonts w:ascii="David" w:hAnsi="David"/>
          <w:rtl/>
        </w:rPr>
        <w:t>) שכותרתו: "</w:t>
      </w:r>
      <w:r w:rsidRPr="003042EC">
        <w:rPr>
          <w:rFonts w:ascii="David" w:hAnsi="David"/>
          <w:b/>
          <w:bCs/>
          <w:rtl/>
        </w:rPr>
        <w:t>סמכות התקנה</w:t>
      </w:r>
      <w:r w:rsidRPr="003042EC">
        <w:rPr>
          <w:rFonts w:ascii="David" w:hAnsi="David"/>
          <w:rtl/>
        </w:rPr>
        <w:t xml:space="preserve">" והקובע כך: </w:t>
      </w:r>
    </w:p>
    <w:p w:rsidR="003042EC" w:rsidRPr="003042EC" w:rsidRDefault="003042EC" w:rsidP="00383A31">
      <w:pPr>
        <w:spacing w:line="360" w:lineRule="auto"/>
        <w:ind w:left="1218" w:right="1560"/>
        <w:contextualSpacing/>
        <w:jc w:val="both"/>
        <w:rPr>
          <w:rFonts w:ascii="David" w:hAnsi="David"/>
          <w:b/>
          <w:bCs/>
        </w:rPr>
      </w:pPr>
      <w:r w:rsidRPr="003042EC">
        <w:rPr>
          <w:rFonts w:ascii="David" w:hAnsi="David"/>
          <w:b/>
          <w:bCs/>
          <w:rtl/>
        </w:rPr>
        <w:t>15. הסמכה להתקין תקנות או ליתן הוראת מינהל – משמעה גם הסמכה לתקנן, לשנותן, להתלותן או לבטלן בדרך שהותקנו התקנות או ניתנה ההוראה.</w:t>
      </w:r>
    </w:p>
    <w:p w:rsidR="003042EC" w:rsidRPr="003042EC" w:rsidRDefault="003042EC" w:rsidP="00383A31">
      <w:pPr>
        <w:pStyle w:val="af1"/>
        <w:numPr>
          <w:ilvl w:val="0"/>
          <w:numId w:val="2"/>
        </w:numPr>
        <w:spacing w:line="360" w:lineRule="auto"/>
        <w:ind w:left="-58"/>
        <w:jc w:val="both"/>
        <w:rPr>
          <w:rFonts w:ascii="David" w:eastAsia="Calibri" w:hAnsi="David"/>
          <w:rtl/>
        </w:rPr>
      </w:pPr>
      <w:r w:rsidRPr="003042EC">
        <w:rPr>
          <w:rFonts w:ascii="David" w:hAnsi="David"/>
          <w:rtl/>
        </w:rPr>
        <w:t xml:space="preserve">כזכור, סעיף זה מקנה לרשות המנהלית, ובכלל זה לתביעה המשטרתית סמכות כללית לשנות כל החלטה שקיבלה, ואין זה סביר לראות </w:t>
      </w:r>
      <w:r w:rsidRPr="003042EC">
        <w:rPr>
          <w:rStyle w:val="normal-h1"/>
          <w:rFonts w:ascii="David" w:hAnsi="David" w:cs="David"/>
          <w:sz w:val="24"/>
          <w:szCs w:val="24"/>
          <w:rtl/>
        </w:rPr>
        <w:t xml:space="preserve">בהחלטה הקודמת שהתקבלה </w:t>
      </w:r>
      <w:r w:rsidRPr="003042EC">
        <w:rPr>
          <w:rFonts w:ascii="David" w:hAnsi="David"/>
          <w:rtl/>
        </w:rPr>
        <w:t>על</w:t>
      </w:r>
      <w:r w:rsidRPr="003042EC">
        <w:rPr>
          <w:rFonts w:ascii="David" w:eastAsia="Calibri" w:hAnsi="David"/>
          <w:vertAlign w:val="superscript"/>
          <w:rtl/>
        </w:rPr>
        <w:t>-</w:t>
      </w:r>
      <w:r w:rsidRPr="003042EC">
        <w:rPr>
          <w:rFonts w:ascii="David" w:eastAsia="Calibri" w:hAnsi="David"/>
          <w:rtl/>
        </w:rPr>
        <w:t xml:space="preserve">ידה </w:t>
      </w:r>
      <w:r w:rsidRPr="003042EC">
        <w:rPr>
          <w:rStyle w:val="normal-h1"/>
          <w:rFonts w:ascii="David" w:hAnsi="David" w:cs="David"/>
          <w:sz w:val="24"/>
          <w:szCs w:val="24"/>
          <w:rtl/>
        </w:rPr>
        <w:t xml:space="preserve">כהכרעה המקפיאה את שיקול דעתה לשנות מהחלטתה במקרים חריגים המצדיקים זאת, ומבלי שכוחו של שיקול הדעת יוגבל </w:t>
      </w:r>
      <w:r w:rsidRPr="003042EC">
        <w:rPr>
          <w:rFonts w:ascii="David" w:hAnsi="David"/>
          <w:rtl/>
        </w:rPr>
        <w:t xml:space="preserve">אך ורק למקרים שבהם הוגש ערר פורמאלי מטעמו של המתלונן. </w:t>
      </w:r>
      <w:r w:rsidRPr="003042EC">
        <w:rPr>
          <w:rFonts w:ascii="David" w:eastAsia="Calibri" w:hAnsi="David"/>
          <w:rtl/>
        </w:rPr>
        <w:t xml:space="preserve">אין בליבי ספק כי במקרה המונח לפתחי הרציונל העומד בבסיס דברים אלו הינו ברור וחד משמעי, ולפיו היקף הסמכות של התביעה לשנות מהחלטתה הקודמת, למשל מטעמים של אינטרס ציבורי חשוב המחייב את ברור האשמה, אינו </w:t>
      </w:r>
      <w:r w:rsidRPr="003042EC">
        <w:rPr>
          <w:rFonts w:ascii="David" w:eastAsia="Calibri" w:hAnsi="David"/>
          <w:rtl/>
        </w:rPr>
        <w:lastRenderedPageBreak/>
        <w:t xml:space="preserve">יכול להיות מוכתב ממעשיו של המתלונן או של כל אדם אחר או מכותרת פנייתו של המתלונן כמכתב או כערר (ראו והשוו, </w:t>
      </w:r>
      <w:r w:rsidRPr="003042EC">
        <w:rPr>
          <w:rFonts w:ascii="David" w:eastAsia="Calibri" w:hAnsi="David"/>
          <w:b/>
          <w:bCs/>
          <w:rtl/>
        </w:rPr>
        <w:t>פרשת מרדכי,</w:t>
      </w:r>
      <w:r w:rsidRPr="003042EC">
        <w:rPr>
          <w:rFonts w:ascii="David" w:eastAsia="Calibri" w:hAnsi="David"/>
          <w:rtl/>
        </w:rPr>
        <w:t xml:space="preserve"> לעיל). </w:t>
      </w:r>
    </w:p>
    <w:p w:rsidR="003042EC" w:rsidRPr="003042EC" w:rsidRDefault="003042EC" w:rsidP="00383A31">
      <w:pPr>
        <w:pStyle w:val="af1"/>
        <w:numPr>
          <w:ilvl w:val="0"/>
          <w:numId w:val="2"/>
        </w:numPr>
        <w:spacing w:line="360" w:lineRule="auto"/>
        <w:ind w:left="-58"/>
        <w:jc w:val="both"/>
        <w:rPr>
          <w:rFonts w:ascii="David" w:eastAsia="Calibri" w:hAnsi="David"/>
        </w:rPr>
      </w:pPr>
      <w:r w:rsidRPr="003042EC">
        <w:rPr>
          <w:rFonts w:ascii="David" w:hAnsi="David"/>
          <w:b/>
          <w:bCs/>
          <w:rtl/>
        </w:rPr>
        <w:t>שלישית, ובכל הנוגע לפגם החלופי הנטען שנפל בפעולת התביעה, לפיו קבלת הערר ופתיחת התיק נעשתה בהעדר סמכות בשל השיהוי בהגשת המכתב ובחלוף פרק הזמן המתאפשר בחוק</w:t>
      </w:r>
      <w:r w:rsidRPr="003042EC">
        <w:rPr>
          <w:rFonts w:ascii="David" w:hAnsi="David"/>
          <w:rtl/>
        </w:rPr>
        <w:t xml:space="preserve"> </w:t>
      </w:r>
      <w:r w:rsidRPr="003042EC">
        <w:rPr>
          <w:rFonts w:ascii="David" w:hAnsi="David"/>
          <w:b/>
          <w:bCs/>
          <w:rtl/>
        </w:rPr>
        <w:t xml:space="preserve">(וזאת ככל </w:t>
      </w:r>
      <w:r w:rsidRPr="003042EC">
        <w:rPr>
          <w:rFonts w:ascii="David" w:eastAsia="Calibri" w:hAnsi="David"/>
          <w:b/>
          <w:bCs/>
          <w:rtl/>
        </w:rPr>
        <w:t>שבית</w:t>
      </w:r>
      <w:r w:rsidRPr="003042EC">
        <w:rPr>
          <w:rFonts w:ascii="David" w:eastAsia="Calibri" w:hAnsi="David"/>
          <w:b/>
          <w:bCs/>
          <w:vertAlign w:val="superscript"/>
          <w:rtl/>
        </w:rPr>
        <w:t>-</w:t>
      </w:r>
      <w:r w:rsidRPr="003042EC">
        <w:rPr>
          <w:rFonts w:ascii="David" w:eastAsia="Calibri" w:hAnsi="David"/>
          <w:b/>
          <w:bCs/>
          <w:rtl/>
        </w:rPr>
        <w:t xml:space="preserve">המשפט יקבל את טענת המאשימה, ויקבע כי אכן ניתן לראות במכתבו של בא כוחו של המתלונן כ'ערר'), </w:t>
      </w:r>
      <w:r w:rsidRPr="003042EC">
        <w:rPr>
          <w:rFonts w:ascii="David" w:hAnsi="David"/>
          <w:rtl/>
        </w:rPr>
        <w:t xml:space="preserve">הרי שבעניין זה ייאמר, </w:t>
      </w:r>
      <w:r w:rsidRPr="003042EC">
        <w:rPr>
          <w:rFonts w:ascii="David" w:eastAsia="Calibri" w:hAnsi="David"/>
          <w:rtl/>
        </w:rPr>
        <w:t xml:space="preserve">כי בהתאם לסעיף 65 </w:t>
      </w:r>
      <w:r w:rsidRPr="003042EC">
        <w:rPr>
          <w:rFonts w:ascii="David" w:eastAsia="Calibri" w:hAnsi="David"/>
          <w:u w:val="single"/>
          <w:rtl/>
        </w:rPr>
        <w:t>לחסד"פ</w:t>
      </w:r>
      <w:r w:rsidRPr="003042EC">
        <w:rPr>
          <w:rFonts w:ascii="David" w:eastAsia="Calibri" w:hAnsi="David"/>
          <w:rtl/>
        </w:rPr>
        <w:t xml:space="preserve"> </w:t>
      </w:r>
      <w:r w:rsidRPr="003042EC">
        <w:rPr>
          <w:rFonts w:ascii="David" w:eastAsia="Calibri" w:hAnsi="David"/>
          <w:b/>
          <w:bCs/>
          <w:rtl/>
        </w:rPr>
        <w:t>שכותרתו "מועד לערר"</w:t>
      </w:r>
      <w:r w:rsidRPr="003042EC">
        <w:rPr>
          <w:rFonts w:ascii="David" w:eastAsia="Calibri" w:hAnsi="David"/>
          <w:rtl/>
        </w:rPr>
        <w:t xml:space="preserve"> נקבע כי:</w:t>
      </w:r>
    </w:p>
    <w:p w:rsidR="003042EC" w:rsidRPr="003042EC" w:rsidRDefault="003042EC" w:rsidP="00383A31">
      <w:pPr>
        <w:pStyle w:val="af1"/>
        <w:spacing w:line="360" w:lineRule="auto"/>
        <w:ind w:left="1218" w:right="1560"/>
        <w:jc w:val="both"/>
        <w:rPr>
          <w:rFonts w:ascii="David" w:eastAsia="Calibri" w:hAnsi="David"/>
          <w:b/>
          <w:bCs/>
        </w:rPr>
      </w:pPr>
      <w:r w:rsidRPr="003042EC">
        <w:rPr>
          <w:rFonts w:ascii="David" w:eastAsia="Calibri" w:hAnsi="David"/>
          <w:b/>
          <w:bCs/>
          <w:rtl/>
        </w:rPr>
        <w:t xml:space="preserve">65.   הערר יוגש באמצעות המשטרה או התובע, הכל לפי הענין, בתוך </w:t>
      </w:r>
      <w:r w:rsidRPr="003042EC">
        <w:rPr>
          <w:rFonts w:ascii="David" w:eastAsia="Calibri" w:hAnsi="David"/>
          <w:b/>
          <w:bCs/>
          <w:u w:val="single"/>
          <w:rtl/>
        </w:rPr>
        <w:t>שישים ימים</w:t>
      </w:r>
      <w:r w:rsidRPr="003042EC">
        <w:rPr>
          <w:rFonts w:ascii="David" w:eastAsia="Calibri" w:hAnsi="David"/>
          <w:b/>
          <w:bCs/>
          <w:rtl/>
        </w:rPr>
        <w:t xml:space="preserve"> לאחר שנמסרה למתלונן ההודעה לפי סעיף 63, אולם רשאי בעל הסמכות להחליט בערר כאמור בסעיף 64 להאריך את המועד להגשת הערר. </w:t>
      </w:r>
      <w:r w:rsidRPr="003042EC">
        <w:rPr>
          <w:rFonts w:ascii="David" w:eastAsia="Calibri" w:hAnsi="David"/>
          <w:rtl/>
        </w:rPr>
        <w:t>(ההדגשה אינה במקור, נ.ש.מ).</w:t>
      </w:r>
    </w:p>
    <w:p w:rsidR="003042EC" w:rsidRPr="003042EC" w:rsidRDefault="003042EC" w:rsidP="00383A31">
      <w:pPr>
        <w:numPr>
          <w:ilvl w:val="0"/>
          <w:numId w:val="2"/>
        </w:numPr>
        <w:spacing w:line="360" w:lineRule="auto"/>
        <w:ind w:left="43" w:hanging="425"/>
        <w:contextualSpacing/>
        <w:jc w:val="both"/>
        <w:rPr>
          <w:rFonts w:ascii="David" w:eastAsia="Calibri" w:hAnsi="David"/>
        </w:rPr>
      </w:pPr>
      <w:r w:rsidRPr="003042EC">
        <w:rPr>
          <w:rFonts w:ascii="David" w:hAnsi="David"/>
          <w:rtl/>
        </w:rPr>
        <w:t xml:space="preserve">מכאן, שהמתלונן רשאי היה להגיש ערר לגורם המוסמך בתוך 60 ימים מהמועד שבו נמסרה לו הודעה על ההחלטה שלא להמשיך לחקור או להעמיד את הנאשם לדין, בהתאם לסעיף 64(א)(1) </w:t>
      </w:r>
      <w:r w:rsidRPr="003042EC">
        <w:rPr>
          <w:rFonts w:ascii="David" w:hAnsi="David"/>
          <w:u w:val="single"/>
          <w:rtl/>
        </w:rPr>
        <w:t>לחסד"פ.</w:t>
      </w:r>
    </w:p>
    <w:p w:rsidR="003042EC" w:rsidRPr="003042EC" w:rsidRDefault="003042EC" w:rsidP="00383A31">
      <w:pPr>
        <w:numPr>
          <w:ilvl w:val="0"/>
          <w:numId w:val="2"/>
        </w:numPr>
        <w:spacing w:line="360" w:lineRule="auto"/>
        <w:ind w:left="43" w:hanging="425"/>
        <w:contextualSpacing/>
        <w:jc w:val="both"/>
        <w:rPr>
          <w:rFonts w:ascii="David" w:eastAsia="Calibri" w:hAnsi="David"/>
          <w:b/>
          <w:bCs/>
          <w:rtl/>
        </w:rPr>
      </w:pPr>
      <w:r w:rsidRPr="003042EC">
        <w:rPr>
          <w:rFonts w:ascii="David" w:eastAsia="Calibri" w:hAnsi="David"/>
          <w:rtl/>
        </w:rPr>
        <w:t xml:space="preserve">אמת ונכון הדבר שמדברי באי כוח הצדדים הן </w:t>
      </w:r>
      <w:r w:rsidRPr="003042EC">
        <w:rPr>
          <w:rFonts w:ascii="David" w:hAnsi="David"/>
          <w:rtl/>
        </w:rPr>
        <w:t>בעל</w:t>
      </w:r>
      <w:r w:rsidRPr="003042EC">
        <w:rPr>
          <w:rFonts w:ascii="David" w:eastAsia="Calibri" w:hAnsi="David"/>
          <w:vertAlign w:val="superscript"/>
          <w:rtl/>
        </w:rPr>
        <w:t>-</w:t>
      </w:r>
      <w:r w:rsidRPr="003042EC">
        <w:rPr>
          <w:rFonts w:ascii="David" w:eastAsia="Calibri" w:hAnsi="David"/>
          <w:rtl/>
        </w:rPr>
        <w:t>פה והן בכתב ומהמסמכים שהוצגו לעיוני, לא ניתן לקבוע באופן מפורש את סדר התרחשות האירועים על ציר הזמן ולא נהיר כלל לבית</w:t>
      </w:r>
      <w:r w:rsidRPr="003042EC">
        <w:rPr>
          <w:rFonts w:ascii="David" w:eastAsia="Calibri" w:hAnsi="David"/>
          <w:vertAlign w:val="superscript"/>
          <w:rtl/>
        </w:rPr>
        <w:t>-</w:t>
      </w:r>
      <w:r w:rsidRPr="003042EC">
        <w:rPr>
          <w:rFonts w:ascii="David" w:eastAsia="Calibri" w:hAnsi="David"/>
          <w:rtl/>
        </w:rPr>
        <w:t xml:space="preserve">המשפט </w:t>
      </w:r>
      <w:r w:rsidRPr="003042EC">
        <w:rPr>
          <w:rFonts w:ascii="David" w:eastAsia="Calibri" w:hAnsi="David"/>
          <w:b/>
          <w:bCs/>
          <w:rtl/>
        </w:rPr>
        <w:t>כמה מכתבים מאת בא כוח המתלונן התקבלו במשרדי המאשימה ומתי הם נשלחו</w:t>
      </w:r>
      <w:r w:rsidRPr="003042EC">
        <w:rPr>
          <w:rFonts w:ascii="David" w:eastAsia="Calibri" w:hAnsi="David"/>
          <w:rtl/>
        </w:rPr>
        <w:t xml:space="preserve"> (שכן כעולה ממכתבו מיום 12.08.2020 (</w:t>
      </w:r>
      <w:r w:rsidRPr="003042EC">
        <w:rPr>
          <w:rFonts w:ascii="David" w:eastAsia="Calibri" w:hAnsi="David"/>
          <w:b/>
          <w:bCs/>
          <w:rtl/>
        </w:rPr>
        <w:t>נספח ז'</w:t>
      </w:r>
      <w:r w:rsidRPr="003042EC">
        <w:rPr>
          <w:rFonts w:ascii="David" w:eastAsia="Calibri" w:hAnsi="David"/>
          <w:rtl/>
        </w:rPr>
        <w:t xml:space="preserve"> לבקשת ההגנה מיום 11.12.2022), ציין בא כוח המתלונן כי הלה הגיש למאשימה שני מכתבים קודמים האחד, ביום 11.02.2019 והשני, ביום 11.08.2020, ואילו בתגובת המאשימה מיום 13.03.2023, הלה לא ציינה זאת אלא מסרה כי בא כוח המתלונן הגיש מכתב נוסף ביום 20.04.2021 (מעבר לזה שנשלח אליה ביום 13.08.2020) כשבמכתב הלה ציין כי הוא שלח למאשימה ערר על החלטת הסגירה ביום 02.12.2020 (שלא בא זכרו בתגובת המאשימה); </w:t>
      </w:r>
      <w:r w:rsidRPr="003042EC">
        <w:rPr>
          <w:rFonts w:ascii="David" w:eastAsia="Calibri" w:hAnsi="David"/>
          <w:b/>
          <w:bCs/>
          <w:rtl/>
        </w:rPr>
        <w:t>מהו המועד שבו החליטה המאשימה לפתוח את התיק מחדש</w:t>
      </w:r>
      <w:r w:rsidRPr="003042EC">
        <w:rPr>
          <w:rFonts w:ascii="David" w:eastAsia="Calibri" w:hAnsi="David"/>
          <w:rtl/>
        </w:rPr>
        <w:t xml:space="preserve"> (שכן כעולה </w:t>
      </w:r>
      <w:r w:rsidRPr="003042EC">
        <w:rPr>
          <w:rFonts w:ascii="David" w:eastAsia="Calibri" w:hAnsi="David"/>
          <w:b/>
          <w:bCs/>
          <w:rtl/>
        </w:rPr>
        <w:t>מנספח י"א</w:t>
      </w:r>
      <w:r w:rsidRPr="003042EC">
        <w:rPr>
          <w:rFonts w:ascii="David" w:eastAsia="Calibri" w:hAnsi="David"/>
          <w:rtl/>
        </w:rPr>
        <w:t xml:space="preserve"> לבקשת ההגנה מיום 11.12.2022, ההודעה על פתיחת התיק מחדש החתומה </w:t>
      </w:r>
      <w:r w:rsidRPr="003042EC">
        <w:rPr>
          <w:rFonts w:ascii="David" w:hAnsi="David"/>
          <w:rtl/>
        </w:rPr>
        <w:t>על</w:t>
      </w:r>
      <w:r w:rsidRPr="003042EC">
        <w:rPr>
          <w:rFonts w:ascii="David" w:eastAsia="Calibri" w:hAnsi="David"/>
          <w:vertAlign w:val="superscript"/>
          <w:rtl/>
        </w:rPr>
        <w:t>-</w:t>
      </w:r>
      <w:r w:rsidRPr="003042EC">
        <w:rPr>
          <w:rFonts w:ascii="David" w:eastAsia="Calibri" w:hAnsi="David"/>
          <w:rtl/>
        </w:rPr>
        <w:t xml:space="preserve">ידי עוה"ד, רפ"ק רחלי חגג' נושאת את התאריך  21.01.2018, שנמחק ובמקומו נרשם בכתב יד כי התאריך הינו ה- 02.01.2020 (שהינו מועד המוקדם יותר להגשת מכתביו של בא כוחו של המתלונן כאמור בתגובת המאשימה מיום 13.03.2023), ואינו מתיישב עם המועד שצוין על ידי המאשימה בתגובתה מיום 13.03.2923, לפיה היה זה ביום 02.01.2021, שבו הוחלט על פתיחת התיק מחדש (וזאת בשונה מהרשום במכתב שנשלח לנאשם </w:t>
      </w:r>
      <w:r w:rsidRPr="003042EC">
        <w:rPr>
          <w:rFonts w:ascii="David" w:hAnsi="David"/>
          <w:rtl/>
        </w:rPr>
        <w:t>על</w:t>
      </w:r>
      <w:r w:rsidRPr="003042EC">
        <w:rPr>
          <w:rFonts w:ascii="David" w:eastAsia="Calibri" w:hAnsi="David"/>
          <w:vertAlign w:val="superscript"/>
          <w:rtl/>
        </w:rPr>
        <w:t>-</w:t>
      </w:r>
      <w:r w:rsidRPr="003042EC">
        <w:rPr>
          <w:rFonts w:ascii="David" w:eastAsia="Calibri" w:hAnsi="David"/>
          <w:rtl/>
        </w:rPr>
        <w:t xml:space="preserve">ידי עוה"ד רפ"ק רחלי חג'ג')); </w:t>
      </w:r>
      <w:r w:rsidRPr="003042EC">
        <w:rPr>
          <w:rFonts w:ascii="David" w:eastAsia="Calibri" w:hAnsi="David"/>
          <w:b/>
          <w:bCs/>
          <w:rtl/>
        </w:rPr>
        <w:t>וכלל לא ברור האם בעל סמכות אפשר להאריך את מועד הגשת הערר</w:t>
      </w:r>
      <w:r w:rsidRPr="003042EC">
        <w:rPr>
          <w:rFonts w:ascii="David" w:eastAsia="Calibri" w:hAnsi="David"/>
          <w:rtl/>
        </w:rPr>
        <w:t xml:space="preserve"> בהתאם לסעיף 65 </w:t>
      </w:r>
      <w:r w:rsidRPr="003042EC">
        <w:rPr>
          <w:rFonts w:ascii="David" w:eastAsia="Calibri" w:hAnsi="David"/>
          <w:u w:val="single"/>
          <w:rtl/>
        </w:rPr>
        <w:t>לחסד"פ</w:t>
      </w:r>
      <w:r w:rsidRPr="003042EC">
        <w:rPr>
          <w:rFonts w:ascii="David" w:eastAsia="Calibri" w:hAnsi="David"/>
          <w:rtl/>
        </w:rPr>
        <w:t xml:space="preserve"> – </w:t>
      </w:r>
      <w:r w:rsidRPr="003042EC">
        <w:rPr>
          <w:rFonts w:ascii="David" w:eastAsia="Calibri" w:hAnsi="David"/>
          <w:b/>
          <w:bCs/>
          <w:rtl/>
        </w:rPr>
        <w:t>וטוב תעשה המאשימה להבא כי תקפיד הקפד היטב על רישום מהלך העניינים כהווייתם על</w:t>
      </w:r>
      <w:r w:rsidRPr="003042EC">
        <w:rPr>
          <w:rFonts w:ascii="David" w:eastAsia="Calibri" w:hAnsi="David"/>
          <w:b/>
          <w:bCs/>
          <w:vertAlign w:val="superscript"/>
          <w:rtl/>
        </w:rPr>
        <w:t>-</w:t>
      </w:r>
      <w:r w:rsidRPr="003042EC">
        <w:rPr>
          <w:rFonts w:ascii="David" w:eastAsia="Calibri" w:hAnsi="David"/>
          <w:b/>
          <w:bCs/>
          <w:rtl/>
        </w:rPr>
        <w:t>מנת שבית</w:t>
      </w:r>
      <w:r w:rsidRPr="003042EC">
        <w:rPr>
          <w:rFonts w:ascii="David" w:eastAsia="Calibri" w:hAnsi="David"/>
          <w:b/>
          <w:bCs/>
          <w:vertAlign w:val="superscript"/>
          <w:rtl/>
        </w:rPr>
        <w:t>-</w:t>
      </w:r>
      <w:r w:rsidRPr="003042EC">
        <w:rPr>
          <w:rFonts w:ascii="David" w:eastAsia="Calibri" w:hAnsi="David"/>
          <w:b/>
          <w:bCs/>
          <w:rtl/>
        </w:rPr>
        <w:t xml:space="preserve">המשפט יוכל להתחקות אחר סדר הדברים ולבדקם לאשורם.  </w:t>
      </w:r>
    </w:p>
    <w:p w:rsidR="003042EC" w:rsidRPr="003042EC" w:rsidRDefault="003042EC" w:rsidP="00383A31">
      <w:pPr>
        <w:numPr>
          <w:ilvl w:val="0"/>
          <w:numId w:val="2"/>
        </w:numPr>
        <w:spacing w:line="360" w:lineRule="auto"/>
        <w:ind w:left="84"/>
        <w:contextualSpacing/>
        <w:jc w:val="both"/>
        <w:rPr>
          <w:rFonts w:ascii="David" w:eastAsia="Calibri" w:hAnsi="David"/>
        </w:rPr>
      </w:pPr>
      <w:r w:rsidRPr="003042EC">
        <w:rPr>
          <w:rFonts w:ascii="David" w:eastAsia="Calibri" w:hAnsi="David"/>
          <w:rtl/>
        </w:rPr>
        <w:t xml:space="preserve">מבלי להקל ראש באי הבהירויות שצוינו לעיל (כשלנפקותן עוד אדרש בהמשך הדברים), הרי שחרף האמור, וכפי שנאמר זה מכבר, ליחידת התביעות סמכות טבועה לבחון את עמדתה מחדש, ואף לשנות מהחלטתה הקודמת לסגור את התיק, ובלבד שהדבר נעשה לאחר בחינת השיקולים הרלוונטיים, </w:t>
      </w:r>
      <w:r w:rsidRPr="003042EC">
        <w:rPr>
          <w:rFonts w:ascii="David" w:eastAsia="Calibri" w:hAnsi="David"/>
          <w:rtl/>
        </w:rPr>
        <w:lastRenderedPageBreak/>
        <w:t xml:space="preserve">בסבירות וללא משוא פנים. </w:t>
      </w:r>
      <w:r w:rsidRPr="003042EC">
        <w:rPr>
          <w:rFonts w:ascii="David" w:hAnsi="David"/>
          <w:rtl/>
        </w:rPr>
        <w:t>ברוח זו, והגם אם מכתבו של עורך דינו של המתלונן שנשלח למאשימה ביום 12.08.2020 יוכתר כ'ערר' (או אחד מהמכתבים שנשלחו על</w:t>
      </w:r>
      <w:r w:rsidRPr="003042EC">
        <w:rPr>
          <w:rFonts w:ascii="David" w:eastAsia="Calibri" w:hAnsi="David"/>
          <w:vertAlign w:val="superscript"/>
          <w:rtl/>
        </w:rPr>
        <w:t>-</w:t>
      </w:r>
      <w:r w:rsidRPr="003042EC">
        <w:rPr>
          <w:rFonts w:ascii="David" w:eastAsia="Calibri" w:hAnsi="David"/>
          <w:rtl/>
        </w:rPr>
        <w:t xml:space="preserve">ידו קודם לכן או לאחר מכן), </w:t>
      </w:r>
      <w:r w:rsidRPr="003042EC">
        <w:rPr>
          <w:rFonts w:ascii="David" w:hAnsi="David"/>
          <w:rtl/>
        </w:rPr>
        <w:t xml:space="preserve">והגם אם לאו, הרי ששיקול דעת התביעה לשנות מהחלטתה באשר להעמדת נאשם לדין אינה מוגבלת בזמן ויכולה להיעשות גם מבלי שהוגש ערר פורמאלי ואף בחלוף הזמן שנקבע לכך בסעיף 65 </w:t>
      </w:r>
      <w:r w:rsidRPr="003042EC">
        <w:rPr>
          <w:rFonts w:ascii="David" w:hAnsi="David"/>
          <w:u w:val="single"/>
          <w:rtl/>
        </w:rPr>
        <w:t>לחסד"פ</w:t>
      </w:r>
      <w:r w:rsidRPr="003042EC">
        <w:rPr>
          <w:rFonts w:ascii="David" w:hAnsi="David"/>
          <w:rtl/>
        </w:rPr>
        <w:t xml:space="preserve"> (וראו לעניין זה, </w:t>
      </w:r>
      <w:r w:rsidRPr="003042EC">
        <w:rPr>
          <w:rFonts w:ascii="David" w:hAnsi="David"/>
          <w:b/>
          <w:bCs/>
          <w:rtl/>
        </w:rPr>
        <w:t>פרשת דותן,</w:t>
      </w:r>
      <w:r w:rsidRPr="003042EC">
        <w:rPr>
          <w:rFonts w:ascii="David" w:hAnsi="David"/>
          <w:rtl/>
        </w:rPr>
        <w:t xml:space="preserve"> לעיל </w:t>
      </w:r>
      <w:r w:rsidRPr="003042EC">
        <w:rPr>
          <w:rFonts w:ascii="David" w:hAnsi="David"/>
          <w:b/>
          <w:bCs/>
          <w:rtl/>
        </w:rPr>
        <w:t xml:space="preserve">ופרשת שולי, </w:t>
      </w:r>
      <w:r w:rsidRPr="003042EC">
        <w:rPr>
          <w:rFonts w:ascii="David" w:hAnsi="David"/>
          <w:rtl/>
        </w:rPr>
        <w:t>לעיל).</w:t>
      </w:r>
      <w:r w:rsidRPr="003042EC">
        <w:rPr>
          <w:rFonts w:ascii="David" w:hAnsi="David"/>
          <w:b/>
          <w:bCs/>
          <w:rtl/>
        </w:rPr>
        <w:t xml:space="preserve"> </w:t>
      </w:r>
    </w:p>
    <w:p w:rsidR="003042EC" w:rsidRPr="003042EC" w:rsidRDefault="003042EC" w:rsidP="00383A31">
      <w:pPr>
        <w:pStyle w:val="af1"/>
        <w:numPr>
          <w:ilvl w:val="0"/>
          <w:numId w:val="2"/>
        </w:numPr>
        <w:spacing w:line="360" w:lineRule="auto"/>
        <w:ind w:left="84" w:hanging="425"/>
        <w:jc w:val="both"/>
        <w:rPr>
          <w:rFonts w:ascii="David" w:hAnsi="David"/>
          <w:color w:val="FF0000"/>
          <w:rtl/>
        </w:rPr>
      </w:pPr>
      <w:r w:rsidRPr="003042EC">
        <w:rPr>
          <w:rFonts w:ascii="David" w:eastAsia="Calibri" w:hAnsi="David"/>
          <w:rtl/>
        </w:rPr>
        <w:t xml:space="preserve">בסיכומה של נקודה זו ייאמר כי לא מצאתי שנפלו פגמים במעשי התביעה עת הלה החליטה על פתיחת התיק מחדש ולא מצאתי כי </w:t>
      </w:r>
      <w:r w:rsidRPr="003042EC">
        <w:rPr>
          <w:rFonts w:ascii="David" w:eastAsia="Calibri" w:hAnsi="David"/>
          <w:b/>
          <w:bCs/>
          <w:rtl/>
        </w:rPr>
        <w:t>פתיחת התיק מחדש נגועה בחוסר סמכות, כטענת ההגנה</w:t>
      </w:r>
      <w:r w:rsidRPr="003042EC">
        <w:rPr>
          <w:rFonts w:ascii="David" w:eastAsia="Calibri" w:hAnsi="David"/>
          <w:rtl/>
        </w:rPr>
        <w:t>.</w:t>
      </w:r>
      <w:r w:rsidRPr="003042EC">
        <w:rPr>
          <w:rFonts w:ascii="David" w:eastAsia="Calibri" w:hAnsi="David"/>
          <w:b/>
          <w:bCs/>
          <w:rtl/>
        </w:rPr>
        <w:t xml:space="preserve"> </w:t>
      </w:r>
      <w:r w:rsidRPr="003042EC">
        <w:rPr>
          <w:rFonts w:ascii="David" w:hAnsi="David"/>
          <w:rtl/>
        </w:rPr>
        <w:t>ההחלטה להגיש את כתב האישום התקבלה על</w:t>
      </w:r>
      <w:r w:rsidRPr="003042EC">
        <w:rPr>
          <w:rFonts w:ascii="David" w:eastAsia="Calibri" w:hAnsi="David"/>
          <w:vertAlign w:val="superscript"/>
          <w:rtl/>
        </w:rPr>
        <w:t>-</w:t>
      </w:r>
      <w:r w:rsidRPr="003042EC">
        <w:rPr>
          <w:rFonts w:ascii="David" w:eastAsia="Calibri" w:hAnsi="David"/>
          <w:rtl/>
        </w:rPr>
        <w:t xml:space="preserve">ידי </w:t>
      </w:r>
      <w:r w:rsidRPr="003042EC">
        <w:rPr>
          <w:rFonts w:ascii="David" w:hAnsi="David"/>
          <w:rtl/>
        </w:rPr>
        <w:t>יחידת התביעות כדת וכדין בהתאם למסגרת הנורמטיבית שהובאה לעיל וזאת בעקבות המכתב (או המכתבים), שהוגשו על</w:t>
      </w:r>
      <w:r w:rsidRPr="003042EC">
        <w:rPr>
          <w:rFonts w:ascii="David" w:eastAsia="Calibri" w:hAnsi="David"/>
          <w:vertAlign w:val="superscript"/>
          <w:rtl/>
        </w:rPr>
        <w:t>-</w:t>
      </w:r>
      <w:r w:rsidRPr="003042EC">
        <w:rPr>
          <w:rFonts w:ascii="David" w:eastAsia="Calibri" w:hAnsi="David"/>
          <w:rtl/>
        </w:rPr>
        <w:t xml:space="preserve">ידי </w:t>
      </w:r>
      <w:r w:rsidRPr="003042EC">
        <w:rPr>
          <w:rFonts w:ascii="David" w:hAnsi="David"/>
          <w:rtl/>
        </w:rPr>
        <w:t>עורך דינו של המתלונן למאשימה שבעקבותיהם נבחנו הדברים מחדש על</w:t>
      </w:r>
      <w:r w:rsidRPr="003042EC">
        <w:rPr>
          <w:rFonts w:ascii="David" w:eastAsia="Calibri" w:hAnsi="David"/>
          <w:vertAlign w:val="superscript"/>
          <w:rtl/>
        </w:rPr>
        <w:t>-</w:t>
      </w:r>
      <w:r w:rsidRPr="003042EC">
        <w:rPr>
          <w:rFonts w:ascii="David" w:eastAsia="Calibri" w:hAnsi="David"/>
          <w:rtl/>
        </w:rPr>
        <w:t xml:space="preserve">ידה </w:t>
      </w:r>
      <w:r w:rsidRPr="003042EC">
        <w:rPr>
          <w:rFonts w:ascii="David" w:hAnsi="David"/>
          <w:rtl/>
        </w:rPr>
        <w:t xml:space="preserve">בהתאם לסמכות הקנויה לה בסעיף 15 </w:t>
      </w:r>
      <w:r w:rsidRPr="003042EC">
        <w:rPr>
          <w:rFonts w:ascii="David" w:hAnsi="David"/>
          <w:u w:val="single"/>
          <w:rtl/>
        </w:rPr>
        <w:t>לחוק הפרשנות</w:t>
      </w:r>
      <w:r w:rsidRPr="003042EC">
        <w:rPr>
          <w:rFonts w:ascii="David" w:hAnsi="David"/>
          <w:rtl/>
        </w:rPr>
        <w:t xml:space="preserve"> (ראו לעניין זה גם,</w:t>
      </w:r>
      <w:r w:rsidRPr="003042EC">
        <w:rPr>
          <w:rFonts w:ascii="David" w:hAnsi="David"/>
          <w:b/>
          <w:bCs/>
          <w:rtl/>
        </w:rPr>
        <w:t xml:space="preserve"> פרשת מרדכי,</w:t>
      </w:r>
      <w:r w:rsidRPr="003042EC">
        <w:rPr>
          <w:rFonts w:ascii="David" w:hAnsi="David"/>
          <w:rtl/>
        </w:rPr>
        <w:t xml:space="preserve"> לעיל). מה עוד, שמצאתי לקבל את הסבריה של המאשימה, לפיהם המקרה שלפנינו נופל לגדר אותם מקרים חריגים </w:t>
      </w:r>
      <w:r w:rsidRPr="003042EC">
        <w:rPr>
          <w:rStyle w:val="normal-h1"/>
          <w:rFonts w:ascii="David" w:hAnsi="David" w:cs="David"/>
          <w:sz w:val="24"/>
          <w:szCs w:val="24"/>
          <w:rtl/>
        </w:rPr>
        <w:t xml:space="preserve">כששינוי ההחלטה מצדה נבע מהתגברותו של האינטרס הציבורי בשל חומרת העבירה ונסיבותיה והנזק החמור שנגרם לכאורה למתלונן, על פני האינטרס הצר של הנאשם, שבו התחייבה הערכה מחדש של העובדות </w:t>
      </w:r>
      <w:r w:rsidRPr="003042EC">
        <w:rPr>
          <w:rFonts w:ascii="David" w:hAnsi="David"/>
          <w:rtl/>
        </w:rPr>
        <w:t>על</w:t>
      </w:r>
      <w:r w:rsidRPr="003042EC">
        <w:rPr>
          <w:rFonts w:ascii="David" w:eastAsia="Calibri" w:hAnsi="David"/>
          <w:vertAlign w:val="superscript"/>
          <w:rtl/>
        </w:rPr>
        <w:t>-</w:t>
      </w:r>
      <w:r w:rsidRPr="003042EC">
        <w:rPr>
          <w:rFonts w:ascii="David" w:eastAsia="Calibri" w:hAnsi="David"/>
          <w:rtl/>
        </w:rPr>
        <w:t xml:space="preserve">מנת </w:t>
      </w:r>
      <w:r w:rsidRPr="003042EC">
        <w:rPr>
          <w:rStyle w:val="normal-h1"/>
          <w:rFonts w:ascii="David" w:hAnsi="David" w:cs="David"/>
          <w:sz w:val="24"/>
          <w:szCs w:val="24"/>
          <w:rtl/>
        </w:rPr>
        <w:t xml:space="preserve">שלא לפגוע בציבור בכללותו ובביטחונו ככל שההחלטה הקודמת תעמוד בעינה. יוצא אפוא, כי </w:t>
      </w:r>
      <w:r w:rsidRPr="003042EC">
        <w:rPr>
          <w:rFonts w:ascii="David" w:hAnsi="David"/>
          <w:rtl/>
        </w:rPr>
        <w:t xml:space="preserve">האינטרס הציבורי בבירור האישום, כשמדובר בעבירה חמורה המסכנת חיי אדם, מחייב את דחיית הבקשה לביטול האישום למרות השינוי שחל בעמדתה של המאשימה. </w:t>
      </w:r>
    </w:p>
    <w:p w:rsidR="003042EC" w:rsidRPr="003042EC" w:rsidRDefault="003042EC" w:rsidP="00383A31">
      <w:pPr>
        <w:numPr>
          <w:ilvl w:val="0"/>
          <w:numId w:val="2"/>
        </w:numPr>
        <w:spacing w:line="360" w:lineRule="auto"/>
        <w:ind w:left="84" w:hanging="425"/>
        <w:contextualSpacing/>
        <w:jc w:val="both"/>
        <w:rPr>
          <w:rFonts w:ascii="David" w:eastAsia="Calibri" w:hAnsi="David"/>
        </w:rPr>
      </w:pPr>
      <w:r w:rsidRPr="003042EC">
        <w:rPr>
          <w:rFonts w:ascii="David" w:eastAsia="Calibri" w:hAnsi="David"/>
          <w:rtl/>
        </w:rPr>
        <w:t xml:space="preserve">בשולי הדברים אך לא בשולי חשיבותם, יוער כי </w:t>
      </w:r>
      <w:r w:rsidRPr="003042EC">
        <w:rPr>
          <w:rFonts w:ascii="David" w:eastAsia="Calibri" w:hAnsi="David"/>
          <w:b/>
          <w:bCs/>
          <w:rtl/>
        </w:rPr>
        <w:t xml:space="preserve">בפרשת אלרואי </w:t>
      </w:r>
      <w:r w:rsidRPr="003042EC">
        <w:rPr>
          <w:rFonts w:ascii="David" w:eastAsia="Calibri" w:hAnsi="David"/>
          <w:rtl/>
        </w:rPr>
        <w:t xml:space="preserve">לעיל, נקבע שהגורם לו נתונה הסמכות להחליט על קבלת הערר או דחייתו, הוא הגורם שקיבל במקור את החלטת הסגירה. יחד עם זאת, נקבע, כי ככל שהגורם שקיבל ההחלטה נשאר איתן בדעתו ומחליט שלא להיעתר לפנייה, הרי שרק אז יהא עליו להעביר את הטיפול בערר לפרקליט המחוז או מי מטעמו. הנה כי כן, </w:t>
      </w:r>
      <w:r w:rsidRPr="003042EC">
        <w:rPr>
          <w:rFonts w:ascii="David" w:hAnsi="David"/>
          <w:rtl/>
        </w:rPr>
        <w:t xml:space="preserve">הטיפול בפתיחת התיק מחדש נעשה בסמכות, שכן המאשימה סברה כי יש לשנות מהחלטתה הקודמת ולפתוח את התיק מחדש ורק במקרה שבו התביעה המשטרתית הייתה סוברת שיש לדבוק בהחלטתה המקורית, היה עליה כמצוות הוראות סעיפים 64 ו-65 </w:t>
      </w:r>
      <w:r w:rsidRPr="003042EC">
        <w:rPr>
          <w:rFonts w:ascii="David" w:hAnsi="David"/>
          <w:u w:val="single"/>
          <w:rtl/>
        </w:rPr>
        <w:t>לחסד"פ</w:t>
      </w:r>
      <w:r w:rsidRPr="003042EC">
        <w:rPr>
          <w:rFonts w:ascii="David" w:hAnsi="David"/>
          <w:rtl/>
        </w:rPr>
        <w:t xml:space="preserve"> להעביר את הודעת הערר לטיפול הפרקליטות. </w:t>
      </w:r>
    </w:p>
    <w:p w:rsidR="003042EC" w:rsidRPr="003042EC" w:rsidRDefault="003042EC" w:rsidP="00383A31">
      <w:pPr>
        <w:numPr>
          <w:ilvl w:val="0"/>
          <w:numId w:val="2"/>
        </w:numPr>
        <w:spacing w:line="360" w:lineRule="auto"/>
        <w:ind w:left="84" w:hanging="425"/>
        <w:contextualSpacing/>
        <w:jc w:val="both"/>
        <w:rPr>
          <w:rFonts w:ascii="David" w:eastAsia="Calibri" w:hAnsi="David"/>
          <w:rtl/>
        </w:rPr>
      </w:pPr>
      <w:r w:rsidRPr="003042EC">
        <w:rPr>
          <w:rFonts w:ascii="David" w:eastAsia="Calibri" w:hAnsi="David"/>
          <w:b/>
          <w:bCs/>
          <w:rtl/>
        </w:rPr>
        <w:t xml:space="preserve">ורביעית, </w:t>
      </w:r>
      <w:r w:rsidRPr="003042EC">
        <w:rPr>
          <w:rFonts w:ascii="David" w:eastAsia="Calibri" w:hAnsi="David"/>
          <w:rtl/>
        </w:rPr>
        <w:t xml:space="preserve">ובכל הנוגע לפגם הנטען שנפל בפעולת התביעה </w:t>
      </w:r>
      <w:r w:rsidRPr="003042EC">
        <w:rPr>
          <w:rFonts w:ascii="David" w:hAnsi="David"/>
          <w:b/>
          <w:bCs/>
          <w:rtl/>
        </w:rPr>
        <w:t xml:space="preserve">בהימנעותה לשלוח לנאשם מכתב 'יידוע' או הודעה פורמאלית בדבר הגשת הערר והאפשרות שיוגש כנגדו כתב אישום, </w:t>
      </w:r>
      <w:r w:rsidRPr="003042EC">
        <w:rPr>
          <w:rFonts w:ascii="David" w:hAnsi="David"/>
          <w:rtl/>
        </w:rPr>
        <w:t xml:space="preserve">כשבנסיבות אלו הוטעם כי נפגמה זכות השימוע של הנאשם ולא ניתנה לו הזדמנות ראויה להשמיע את השגותיו עובר לפתיחת התיק מחדש, </w:t>
      </w:r>
      <w:r w:rsidRPr="003042EC">
        <w:rPr>
          <w:rFonts w:ascii="David" w:eastAsia="Calibri" w:hAnsi="David"/>
          <w:rtl/>
        </w:rPr>
        <w:t xml:space="preserve">הרי שהוראת סעיף 65ב(א)(1) </w:t>
      </w:r>
      <w:r w:rsidRPr="003042EC">
        <w:rPr>
          <w:rFonts w:ascii="David" w:eastAsia="Calibri" w:hAnsi="David"/>
          <w:u w:val="single"/>
          <w:rtl/>
        </w:rPr>
        <w:t>לחסד"פ</w:t>
      </w:r>
      <w:r w:rsidRPr="003042EC">
        <w:rPr>
          <w:rFonts w:ascii="David" w:eastAsia="Calibri" w:hAnsi="David"/>
          <w:rtl/>
        </w:rPr>
        <w:t xml:space="preserve"> שכותרתה: "</w:t>
      </w:r>
      <w:r w:rsidRPr="003042EC">
        <w:rPr>
          <w:rFonts w:ascii="David" w:eastAsia="Calibri" w:hAnsi="David"/>
          <w:b/>
          <w:bCs/>
          <w:rtl/>
        </w:rPr>
        <w:t>הודעה על החלטה בערר"</w:t>
      </w:r>
      <w:r w:rsidRPr="003042EC">
        <w:rPr>
          <w:rFonts w:ascii="David" w:eastAsia="Calibri" w:hAnsi="David"/>
          <w:rtl/>
        </w:rPr>
        <w:t xml:space="preserve"> קובעת כדלקמן: </w:t>
      </w:r>
    </w:p>
    <w:p w:rsidR="003042EC" w:rsidRPr="003042EC" w:rsidRDefault="003042EC" w:rsidP="00383A31">
      <w:pPr>
        <w:spacing w:line="360" w:lineRule="auto"/>
        <w:ind w:left="1218" w:right="1560"/>
        <w:contextualSpacing/>
        <w:jc w:val="both"/>
        <w:rPr>
          <w:rFonts w:ascii="David" w:eastAsia="Calibri" w:hAnsi="David"/>
          <w:rtl/>
        </w:rPr>
      </w:pPr>
      <w:r w:rsidRPr="003042EC">
        <w:rPr>
          <w:rFonts w:ascii="David" w:eastAsia="Calibri" w:hAnsi="David"/>
          <w:rtl/>
        </w:rPr>
        <w:t xml:space="preserve"> "</w:t>
      </w:r>
      <w:r w:rsidRPr="003042EC">
        <w:rPr>
          <w:rFonts w:ascii="David" w:eastAsia="Calibri" w:hAnsi="David"/>
          <w:b/>
          <w:bCs/>
          <w:rtl/>
        </w:rPr>
        <w:t xml:space="preserve">בטרם תתקבל החלטה להעמיד לדין חשוד, בעקבות הגשת ערר לפי סעיף 64 בעבירה מסוג פשע או עוון, יודיע לו הגורם המוסמך לקבל החלטה כאמור, או הממונה על החקירה, על הערר שהוגש ועל </w:t>
      </w:r>
      <w:r w:rsidRPr="003042EC">
        <w:rPr>
          <w:rFonts w:ascii="David" w:eastAsia="Calibri" w:hAnsi="David"/>
          <w:b/>
          <w:bCs/>
          <w:rtl/>
        </w:rPr>
        <w:lastRenderedPageBreak/>
        <w:t>האפשרות שיוגש נגדו כתב אישום, אלא אם כן החליט פרקליט המחוז או ראש יחידת התביעות או בעל הסמכות להחליט בערר, לפי העניין כי קיימת מניעה לכך</w:t>
      </w:r>
      <w:r w:rsidRPr="003042EC">
        <w:rPr>
          <w:rFonts w:ascii="David" w:eastAsia="Calibri" w:hAnsi="David"/>
          <w:rtl/>
        </w:rPr>
        <w:t xml:space="preserve">". </w:t>
      </w:r>
    </w:p>
    <w:p w:rsidR="003042EC" w:rsidRPr="003042EC" w:rsidRDefault="003042EC" w:rsidP="00383A31">
      <w:pPr>
        <w:spacing w:line="360" w:lineRule="auto"/>
        <w:ind w:left="1218" w:right="1560"/>
        <w:contextualSpacing/>
        <w:jc w:val="both"/>
        <w:rPr>
          <w:rFonts w:ascii="David" w:eastAsia="Calibri" w:hAnsi="David"/>
          <w:rtl/>
        </w:rPr>
      </w:pPr>
    </w:p>
    <w:p w:rsidR="003042EC" w:rsidRPr="003042EC" w:rsidRDefault="003042EC" w:rsidP="00383A31">
      <w:pPr>
        <w:spacing w:line="360" w:lineRule="auto"/>
        <w:rPr>
          <w:rFonts w:ascii="David" w:eastAsiaTheme="minorHAnsi" w:hAnsi="David"/>
          <w:rtl/>
        </w:rPr>
      </w:pPr>
      <w:r w:rsidRPr="003042EC">
        <w:rPr>
          <w:rFonts w:ascii="David" w:hAnsi="David"/>
          <w:rtl/>
        </w:rPr>
        <w:t xml:space="preserve">ואילו הוראת סעיף 65ב(ג) </w:t>
      </w:r>
      <w:r w:rsidRPr="003042EC">
        <w:rPr>
          <w:rFonts w:ascii="David" w:hAnsi="David"/>
          <w:u w:val="single"/>
          <w:rtl/>
        </w:rPr>
        <w:t>לחסד"פ</w:t>
      </w:r>
      <w:r w:rsidRPr="003042EC">
        <w:rPr>
          <w:rFonts w:ascii="David" w:hAnsi="David"/>
          <w:rtl/>
        </w:rPr>
        <w:t xml:space="preserve"> קובעת כדלקמן:</w:t>
      </w:r>
    </w:p>
    <w:p w:rsidR="003042EC" w:rsidRPr="003042EC" w:rsidRDefault="003042EC" w:rsidP="00383A31">
      <w:pPr>
        <w:tabs>
          <w:tab w:val="left" w:pos="1218"/>
          <w:tab w:val="left" w:pos="6746"/>
          <w:tab w:val="left" w:pos="7030"/>
        </w:tabs>
        <w:spacing w:line="360" w:lineRule="auto"/>
        <w:ind w:left="1218" w:right="1560" w:hanging="1218"/>
        <w:rPr>
          <w:rFonts w:ascii="David" w:hAnsi="David"/>
          <w:b/>
          <w:bCs/>
          <w:rtl/>
        </w:rPr>
      </w:pPr>
      <w:r w:rsidRPr="003042EC">
        <w:rPr>
          <w:rFonts w:ascii="David" w:hAnsi="David"/>
          <w:b/>
          <w:bCs/>
          <w:rtl/>
        </w:rPr>
        <w:tab/>
        <w:t>"</w:t>
      </w:r>
      <w:r w:rsidRPr="003042EC">
        <w:rPr>
          <w:rFonts w:ascii="David" w:hAnsi="David"/>
          <w:b/>
          <w:bCs/>
          <w:color w:val="000000"/>
          <w:rtl/>
        </w:rPr>
        <w:t>אין בהוראות סעיף זה כדי להוסיף על הוראות סעיף 60 או לגרוע מהן</w:t>
      </w:r>
      <w:r w:rsidRPr="003042EC">
        <w:rPr>
          <w:rFonts w:ascii="David" w:hAnsi="David"/>
          <w:b/>
          <w:bCs/>
        </w:rPr>
        <w:t>"</w:t>
      </w:r>
      <w:r w:rsidRPr="003042EC">
        <w:rPr>
          <w:rFonts w:ascii="David" w:hAnsi="David"/>
          <w:rtl/>
        </w:rPr>
        <w:t>(קרי, הסעיף שמעגן את "זכות השימוע" –נ.ש.מ).</w:t>
      </w:r>
    </w:p>
    <w:p w:rsidR="003042EC" w:rsidRPr="003042EC" w:rsidRDefault="003042EC" w:rsidP="00383A31">
      <w:pPr>
        <w:numPr>
          <w:ilvl w:val="0"/>
          <w:numId w:val="2"/>
        </w:numPr>
        <w:spacing w:line="360" w:lineRule="auto"/>
        <w:ind w:left="84" w:hanging="324"/>
        <w:contextualSpacing/>
        <w:jc w:val="both"/>
        <w:rPr>
          <w:rFonts w:ascii="David" w:eastAsia="Calibri" w:hAnsi="David"/>
          <w:rtl/>
        </w:rPr>
      </w:pPr>
      <w:r w:rsidRPr="003042EC">
        <w:rPr>
          <w:rFonts w:ascii="David" w:eastAsia="Calibri" w:hAnsi="David"/>
          <w:rtl/>
        </w:rPr>
        <w:t xml:space="preserve">עינינו הרואות אם כן, כי המדובר בסעיפים שמטרתו להשלים את חובת היידוע והשימוע על העברת חומר חקירה לתובע בעבירת פשע, זאת בהתאם להוראת סעיף 60א' </w:t>
      </w:r>
      <w:r w:rsidRPr="003042EC">
        <w:rPr>
          <w:rFonts w:ascii="David" w:eastAsia="Calibri" w:hAnsi="David"/>
          <w:u w:val="single"/>
          <w:rtl/>
        </w:rPr>
        <w:t>לחסד"פ</w:t>
      </w:r>
      <w:r w:rsidRPr="003042EC">
        <w:rPr>
          <w:rFonts w:ascii="David" w:eastAsia="Calibri" w:hAnsi="David"/>
          <w:rtl/>
        </w:rPr>
        <w:t xml:space="preserve"> ולהבטיח את תקינות ההליך הפלילי ואת ההגינות המתחייבת כלפי הנאשם, גם בעת הגשת ערר המשיג על ההחלטה לסגור את התיק הפלילי שעמד כנגדו (ראה והשוו, </w:t>
      </w:r>
      <w:r w:rsidRPr="003042EC">
        <w:rPr>
          <w:rFonts w:ascii="David" w:eastAsia="Calibri" w:hAnsi="David"/>
          <w:u w:val="single"/>
          <w:rtl/>
        </w:rPr>
        <w:t>ת"פ (שלום ת"א) 6984/08</w:t>
      </w:r>
      <w:r w:rsidRPr="003042EC">
        <w:rPr>
          <w:rFonts w:ascii="David" w:eastAsia="Calibri" w:hAnsi="David"/>
          <w:rtl/>
        </w:rPr>
        <w:t xml:space="preserve"> </w:t>
      </w:r>
      <w:r w:rsidRPr="003042EC">
        <w:rPr>
          <w:rFonts w:ascii="David" w:eastAsia="Calibri" w:hAnsi="David"/>
          <w:b/>
          <w:bCs/>
          <w:rtl/>
        </w:rPr>
        <w:t xml:space="preserve">מדינת ישראל נ' אנקר </w:t>
      </w:r>
      <w:r w:rsidRPr="003042EC">
        <w:rPr>
          <w:rFonts w:ascii="David" w:eastAsia="Calibri" w:hAnsi="David"/>
          <w:rtl/>
        </w:rPr>
        <w:t>[פורסם בנבו] (18.03.2009)).</w:t>
      </w:r>
    </w:p>
    <w:p w:rsidR="003042EC" w:rsidRPr="003042EC" w:rsidRDefault="003042EC" w:rsidP="00383A31">
      <w:pPr>
        <w:numPr>
          <w:ilvl w:val="0"/>
          <w:numId w:val="2"/>
        </w:numPr>
        <w:spacing w:line="360" w:lineRule="auto"/>
        <w:ind w:left="84" w:hanging="324"/>
        <w:contextualSpacing/>
        <w:jc w:val="both"/>
        <w:rPr>
          <w:rFonts w:ascii="David" w:eastAsia="Calibri" w:hAnsi="David"/>
        </w:rPr>
      </w:pPr>
      <w:r w:rsidRPr="003042EC">
        <w:rPr>
          <w:rFonts w:ascii="David" w:eastAsia="Calibri" w:hAnsi="David"/>
          <w:rtl/>
        </w:rPr>
        <w:t xml:space="preserve">בעניינינו, לא הייתה מחלוקת בין הצדדים כי אף לא גורם מוסמך אחד מטעם המאשימה מצא לנכון להודיע לנאשם </w:t>
      </w:r>
      <w:r w:rsidRPr="003042EC">
        <w:rPr>
          <w:rFonts w:ascii="David" w:eastAsia="Calibri" w:hAnsi="David"/>
          <w:u w:val="single"/>
          <w:rtl/>
        </w:rPr>
        <w:t>עובר</w:t>
      </w:r>
      <w:r w:rsidRPr="003042EC">
        <w:rPr>
          <w:rFonts w:ascii="David" w:eastAsia="Calibri" w:hAnsi="David"/>
          <w:rtl/>
        </w:rPr>
        <w:t xml:space="preserve"> להגשת כתב האישום כנגדו כי הוגש ערר על ההחלטה שלא להעמידו לדין (או כי הוגש מכתב למאשימה </w:t>
      </w:r>
      <w:r w:rsidRPr="003042EC">
        <w:rPr>
          <w:rFonts w:ascii="David" w:hAnsi="David"/>
          <w:rtl/>
        </w:rPr>
        <w:t>על</w:t>
      </w:r>
      <w:r w:rsidRPr="003042EC">
        <w:rPr>
          <w:rFonts w:ascii="David" w:eastAsia="Calibri" w:hAnsi="David"/>
          <w:vertAlign w:val="superscript"/>
          <w:rtl/>
        </w:rPr>
        <w:t>-</w:t>
      </w:r>
      <w:r w:rsidRPr="003042EC">
        <w:rPr>
          <w:rFonts w:ascii="David" w:eastAsia="Calibri" w:hAnsi="David"/>
          <w:rtl/>
        </w:rPr>
        <w:t xml:space="preserve">ידי עורך דינו של המתלונן מכתב או מכתבים שניתן להכתירם כ'ערר'), ועל האפשרות שיוגש נגדו כתב אישום. הנה כי כן, ברי, כי בשעה שלא הודע לנאשם עובר להחלטה להעמידו לדין כי הוגש ערר וכי יכול ויוגש כנגדו כתב אישום, בין אם הדבר קשור למכתבו של בא כוח המתלונן ובין אם הדבר נעשה בלא קשר לפנייתו, הרי שזכותו של הנאשם להשמיע את דבריו ולהשיג על עצם הגשת הערר והאפשרות לפתיחת התיק הפלילי כנגדו מחדש – נפגמה, </w:t>
      </w:r>
      <w:r w:rsidRPr="003042EC">
        <w:rPr>
          <w:rFonts w:ascii="David" w:hAnsi="David"/>
          <w:rtl/>
        </w:rPr>
        <w:t xml:space="preserve">תוך פגיעה באינטרס הציפייה וההסתמכות שלו על הודעת התביעה הקודמת, לפיה התיק כנגדו נסגר זה מכבר. </w:t>
      </w:r>
    </w:p>
    <w:p w:rsidR="003042EC" w:rsidRPr="003042EC" w:rsidRDefault="003042EC" w:rsidP="00383A31">
      <w:pPr>
        <w:numPr>
          <w:ilvl w:val="0"/>
          <w:numId w:val="2"/>
        </w:numPr>
        <w:spacing w:line="360" w:lineRule="auto"/>
        <w:ind w:left="84" w:hanging="324"/>
        <w:contextualSpacing/>
        <w:jc w:val="both"/>
        <w:rPr>
          <w:rFonts w:ascii="David" w:eastAsia="Calibri" w:hAnsi="David"/>
        </w:rPr>
      </w:pPr>
      <w:r w:rsidRPr="003042EC">
        <w:rPr>
          <w:rFonts w:ascii="David" w:hAnsi="David"/>
          <w:rtl/>
        </w:rPr>
        <w:t>בסיכומם של דברים ייאמר, כי לא מצאתי שנפל פגם במעשי התביעה בפתיחת התיק מחדש בהעדר ראיות או נסיבות חדשות</w:t>
      </w:r>
      <w:r w:rsidRPr="003042EC">
        <w:rPr>
          <w:rFonts w:ascii="David" w:eastAsia="Calibri" w:hAnsi="David"/>
          <w:rtl/>
        </w:rPr>
        <w:t xml:space="preserve">; לא מצאתי שנפל פגם במעשי התביעה עת התיק נפתח לאחר שנסגר בהעדר הגשת ערר פורמאלי מטעם המתלונן; </w:t>
      </w:r>
      <w:r w:rsidRPr="003042EC">
        <w:rPr>
          <w:rFonts w:ascii="David" w:hAnsi="David"/>
          <w:rtl/>
        </w:rPr>
        <w:t xml:space="preserve">לא מצאתי שנפל פגם במעשי התביעה </w:t>
      </w:r>
      <w:r w:rsidRPr="003042EC">
        <w:rPr>
          <w:rFonts w:ascii="David" w:eastAsia="Calibri" w:hAnsi="David"/>
          <w:rtl/>
        </w:rPr>
        <w:t>עת שינוי החלטתה נבע לאחר הפעלת שיקול דעת מחודש מצדה בעקבות פנייתו של בא כוח המתלונן</w:t>
      </w:r>
      <w:r w:rsidR="00383A31">
        <w:rPr>
          <w:rFonts w:ascii="David" w:eastAsia="Calibri" w:hAnsi="David" w:hint="cs"/>
          <w:rtl/>
        </w:rPr>
        <w:t>,</w:t>
      </w:r>
      <w:r w:rsidRPr="003042EC">
        <w:rPr>
          <w:rFonts w:ascii="David" w:eastAsia="Calibri" w:hAnsi="David"/>
          <w:rtl/>
        </w:rPr>
        <w:t xml:space="preserve"> הגם שפנייה זו לא הוכתרה כ'ערר', </w:t>
      </w:r>
      <w:r w:rsidRPr="003042EC">
        <w:rPr>
          <w:rFonts w:ascii="David" w:hAnsi="David"/>
          <w:rtl/>
        </w:rPr>
        <w:t xml:space="preserve">וחרף העובדה כי יכול והפנייה נעשתה בחריגה מסד הזמנים הקבוע בחוק; </w:t>
      </w:r>
      <w:r w:rsidRPr="003042EC">
        <w:rPr>
          <w:rFonts w:ascii="David" w:eastAsia="Calibri" w:hAnsi="David"/>
          <w:rtl/>
        </w:rPr>
        <w:t xml:space="preserve">ולא מצאתי כי פתיחת התיק מחדש נגועה בחוסר סמכות, או שנפל דופי בדבר, כטענת ההגנה. עם זאת מצאתי, שנפל פגם בפעולת התביעה </w:t>
      </w:r>
      <w:r w:rsidRPr="003042EC">
        <w:rPr>
          <w:rFonts w:ascii="David" w:hAnsi="David"/>
          <w:rtl/>
        </w:rPr>
        <w:t>בהימנעותה עובר להגשת כתב האישום לשלוח לנאשם מכתב 'יידוע' או הודעה פורמאלית בדבר הגשת הערר והאפשרות שיוגש כנגדו כתב אישום, תוך שנפגמה זכות השימוע של הנאשם להשמיע את השגותיו</w:t>
      </w:r>
      <w:r w:rsidRPr="003042EC">
        <w:rPr>
          <w:rFonts w:ascii="David" w:eastAsia="Calibri" w:hAnsi="David"/>
          <w:rtl/>
        </w:rPr>
        <w:t xml:space="preserve"> בעניין זה.</w:t>
      </w:r>
    </w:p>
    <w:p w:rsidR="003042EC" w:rsidRPr="003042EC" w:rsidRDefault="003042EC" w:rsidP="00383A31">
      <w:pPr>
        <w:numPr>
          <w:ilvl w:val="0"/>
          <w:numId w:val="2"/>
        </w:numPr>
        <w:tabs>
          <w:tab w:val="left" w:pos="6746"/>
        </w:tabs>
        <w:spacing w:line="360" w:lineRule="auto"/>
        <w:ind w:left="84" w:hanging="324"/>
        <w:contextualSpacing/>
        <w:jc w:val="both"/>
        <w:rPr>
          <w:rFonts w:ascii="David" w:eastAsia="Calibri" w:hAnsi="David"/>
          <w:rtl/>
        </w:rPr>
      </w:pPr>
      <w:r w:rsidRPr="003042EC">
        <w:rPr>
          <w:rFonts w:ascii="David" w:eastAsia="Calibri" w:hAnsi="David"/>
          <w:rtl/>
        </w:rPr>
        <w:t xml:space="preserve">הנה כי כן, מרגע שקבעתי כי נפל פגם בהתנהלות המאשימה בהימנעותה עובר להגשת כתב האישום מלהודיע לנאשם על הגשת הערר ועל האפשרות כי יכול ויוגש כנגדו כתב אישום והנאשם הופתע מעצם ההחלטה על פתיחת התיק מחדש ועל הגשת כתב האישום כנגדו לאחר שהלה קיבל זה מכבר מכתב המודיעו על סגירת התיק (ביום 08.04.2020, כשנה עובר למועד הגשת כתב האישום ביום </w:t>
      </w:r>
      <w:r w:rsidRPr="003042EC">
        <w:rPr>
          <w:rFonts w:ascii="David" w:eastAsia="Calibri" w:hAnsi="David"/>
          <w:rtl/>
        </w:rPr>
        <w:lastRenderedPageBreak/>
        <w:t xml:space="preserve">12.05.2021), עלי לבחון את ההשלכה של מחדל זה על עניינינו והאם הוא מצדיק את ביטולו של כתב האישום מכוח טענת ה'הגנה מן הצדק' והאם עצם הגשת כתב האישום עומדת בסתירה מהותית לעקרונות של צדק והגינות משפטית.  </w:t>
      </w:r>
    </w:p>
    <w:p w:rsidR="003042EC" w:rsidRPr="003042EC" w:rsidRDefault="003042EC" w:rsidP="00383A31">
      <w:pPr>
        <w:numPr>
          <w:ilvl w:val="0"/>
          <w:numId w:val="2"/>
        </w:numPr>
        <w:spacing w:line="360" w:lineRule="auto"/>
        <w:ind w:left="84" w:hanging="324"/>
        <w:contextualSpacing/>
        <w:jc w:val="both"/>
        <w:rPr>
          <w:rFonts w:ascii="David" w:eastAsia="Calibri" w:hAnsi="David"/>
          <w:rtl/>
        </w:rPr>
      </w:pPr>
      <w:r w:rsidRPr="003042EC">
        <w:rPr>
          <w:rFonts w:ascii="David" w:hAnsi="David"/>
          <w:rtl/>
        </w:rPr>
        <w:t xml:space="preserve">בכל הנוגע </w:t>
      </w:r>
      <w:r w:rsidRPr="003042EC">
        <w:rPr>
          <w:rFonts w:ascii="David" w:hAnsi="David"/>
          <w:b/>
          <w:bCs/>
          <w:u w:val="single"/>
          <w:rtl/>
        </w:rPr>
        <w:t>למבחן השני</w:t>
      </w:r>
      <w:r w:rsidRPr="003042EC">
        <w:rPr>
          <w:rFonts w:ascii="David" w:hAnsi="David"/>
          <w:b/>
          <w:bCs/>
          <w:rtl/>
        </w:rPr>
        <w:t xml:space="preserve"> </w:t>
      </w:r>
      <w:r w:rsidRPr="003042EC">
        <w:rPr>
          <w:rFonts w:ascii="David" w:eastAsia="Calibri" w:hAnsi="David"/>
          <w:b/>
          <w:bCs/>
          <w:rtl/>
        </w:rPr>
        <w:t xml:space="preserve">לתחולתה של טענת ה'הגנה מן הצדק' על המקרה שלפנינו,  </w:t>
      </w:r>
      <w:r w:rsidRPr="003042EC">
        <w:rPr>
          <w:rFonts w:ascii="David" w:hAnsi="David"/>
          <w:rtl/>
        </w:rPr>
        <w:t>אינני סבורה כי בקיומו של ההליך חרף הפגם שנפל בהתנהלות המאשימה בהימנעותה ליידע את הנאשם בדבר הגשת הערר על סגירת התיק ועל האפשרות כי יכול ויוגש כנגדו כתב אישום יש משום פגיעה חמורה בתחושת הצדק וההגינות המצדיק את הסנקציה החריפה בדמות ביטולו של כתב האישום.</w:t>
      </w:r>
      <w:r w:rsidRPr="003042EC">
        <w:rPr>
          <w:rFonts w:ascii="David" w:eastAsia="Calibri" w:hAnsi="David"/>
          <w:rtl/>
        </w:rPr>
        <w:t xml:space="preserve"> אם כי לא ניתן להתעלם מכך כי בהתנהלותה של המאשימה נפגעו זכויותיו של הנאשם במידת</w:t>
      </w:r>
      <w:r w:rsidRPr="003042EC">
        <w:rPr>
          <w:rFonts w:ascii="David" w:eastAsia="Calibri" w:hAnsi="David"/>
          <w:vertAlign w:val="superscript"/>
          <w:rtl/>
        </w:rPr>
        <w:t>-</w:t>
      </w:r>
      <w:r w:rsidRPr="003042EC">
        <w:rPr>
          <w:rFonts w:ascii="David" w:eastAsia="Calibri" w:hAnsi="David"/>
          <w:rtl/>
        </w:rPr>
        <w:t xml:space="preserve">מה עת נפגעה זכות השימוע של הנאשם תוך שלא עלה בידו להשיג על הדברים שנרשמו על ידי בא כוח המתלונן במכתביו עובר להחלטת המאשימה לקבל את הערר ולהורות על פתיחתו המחודשת של התיק כנגדו. </w:t>
      </w:r>
    </w:p>
    <w:p w:rsidR="003042EC" w:rsidRPr="003042EC" w:rsidRDefault="003042EC" w:rsidP="00383A31">
      <w:pPr>
        <w:numPr>
          <w:ilvl w:val="0"/>
          <w:numId w:val="2"/>
        </w:numPr>
        <w:spacing w:line="360" w:lineRule="auto"/>
        <w:ind w:left="-58" w:hanging="425"/>
        <w:contextualSpacing/>
        <w:jc w:val="both"/>
        <w:rPr>
          <w:rFonts w:ascii="David" w:eastAsia="Calibri" w:hAnsi="David"/>
        </w:rPr>
      </w:pPr>
      <w:r w:rsidRPr="003042EC">
        <w:rPr>
          <w:rFonts w:ascii="David" w:eastAsia="Calibri" w:hAnsi="David"/>
          <w:rtl/>
        </w:rPr>
        <w:t xml:space="preserve">בכל הנוגע </w:t>
      </w:r>
      <w:r w:rsidRPr="003042EC">
        <w:rPr>
          <w:rFonts w:ascii="David" w:eastAsia="Calibri" w:hAnsi="David"/>
          <w:b/>
          <w:bCs/>
          <w:u w:val="single"/>
          <w:rtl/>
        </w:rPr>
        <w:t>למבחן השלישי</w:t>
      </w:r>
      <w:r w:rsidRPr="003042EC">
        <w:rPr>
          <w:rFonts w:ascii="David" w:eastAsia="Calibri" w:hAnsi="David"/>
          <w:b/>
          <w:bCs/>
          <w:rtl/>
        </w:rPr>
        <w:t xml:space="preserve"> לתחולתה של טענת ה'הגנה מן הצדק' על המקרה שלפנינו, </w:t>
      </w:r>
      <w:r w:rsidRPr="003042EC">
        <w:rPr>
          <w:rFonts w:ascii="David" w:eastAsia="Calibri" w:hAnsi="David"/>
          <w:rtl/>
        </w:rPr>
        <w:t xml:space="preserve">מששוכנעתי כי קיומו של ההליך הפלילי שננקט כנגד הנאשם אינו כרוך בפגיעה חריפה בתחושת הצדק וההגינות, מחד גיסא, ומאידך גיסא, כי בכל זאת נפל בהתנהלות התביעה וכי יש מקום לרפא את הפגיעה שנגרמה לנאשם מאי יידועו בדבר הגשת הערר והאפשרות כי יכול ויוגש כנגדו כתב אישום, תוך שהחלטת המאשימה לפתוח את התיק מחדש נעשתה מבלי להקנות לנאשם את זכות השימוע ולהשיג על האמור בערר שהגיש המתלונן עובר להחלטתה על פתיחת התיק מחדש – </w:t>
      </w:r>
      <w:r w:rsidRPr="003042EC">
        <w:rPr>
          <w:rFonts w:ascii="David" w:eastAsia="Calibri" w:hAnsi="David"/>
          <w:b/>
          <w:bCs/>
          <w:rtl/>
        </w:rPr>
        <w:t>מצאתי כי יש מקום לבחון האם ניתן לרפא את הפגם שנתגלה באמצעים מתונים ומידתיים</w:t>
      </w:r>
      <w:r w:rsidRPr="003042EC">
        <w:rPr>
          <w:rFonts w:ascii="David" w:eastAsia="Calibri" w:hAnsi="David"/>
          <w:rtl/>
        </w:rPr>
        <w:t xml:space="preserve"> יותר מביטולו של כתב האישום, שכן ברי כי ביטול כתב האישום מטעמי 'הגנה מן הצדק' מהווה סנקציה קיצונית השמורה למקרים חריגים בלבד.</w:t>
      </w:r>
    </w:p>
    <w:p w:rsidR="003042EC" w:rsidRPr="003042EC" w:rsidRDefault="003042EC" w:rsidP="00383A31">
      <w:pPr>
        <w:pStyle w:val="af1"/>
        <w:numPr>
          <w:ilvl w:val="0"/>
          <w:numId w:val="2"/>
        </w:numPr>
        <w:spacing w:line="360" w:lineRule="auto"/>
        <w:ind w:left="-58"/>
        <w:jc w:val="both"/>
        <w:rPr>
          <w:rFonts w:ascii="David" w:hAnsi="David"/>
          <w:rtl/>
        </w:rPr>
      </w:pPr>
      <w:r w:rsidRPr="003042EC">
        <w:rPr>
          <w:rFonts w:ascii="David" w:eastAsia="Calibri" w:hAnsi="David"/>
          <w:b/>
          <w:bCs/>
          <w:rtl/>
        </w:rPr>
        <w:t>סוף דבר,</w:t>
      </w:r>
      <w:r w:rsidRPr="003042EC">
        <w:rPr>
          <w:rFonts w:ascii="David" w:eastAsia="Calibri" w:hAnsi="David"/>
          <w:rtl/>
        </w:rPr>
        <w:t xml:space="preserve"> לאחר ששמעתי את טיעוני הצדדים ועיינתי באסמכתאות שהוגשו לי, ולאחר שהתרשמתי כי הפגם שנפל במעשיה של התביעה המשטרתית אינו עולה כדי מעשה מכוון, אלא ברשלנות גרידא – מצאתי כי ניתן לנקוט </w:t>
      </w:r>
      <w:r w:rsidRPr="003042EC">
        <w:rPr>
          <w:rFonts w:ascii="David" w:eastAsia="Calibri" w:hAnsi="David"/>
          <w:b/>
          <w:bCs/>
          <w:rtl/>
        </w:rPr>
        <w:t>בדרך ביניים</w:t>
      </w:r>
      <w:r w:rsidRPr="003042EC">
        <w:rPr>
          <w:rFonts w:ascii="David" w:eastAsia="Calibri" w:hAnsi="David"/>
          <w:rtl/>
        </w:rPr>
        <w:t xml:space="preserve"> ולרפא את הפגם בסעד מידתי יותר מביטולו של כתב האישום בדמות מעין </w:t>
      </w:r>
      <w:r w:rsidRPr="003042EC">
        <w:rPr>
          <w:rFonts w:ascii="David" w:eastAsia="Calibri" w:hAnsi="David"/>
          <w:b/>
          <w:bCs/>
          <w:rtl/>
        </w:rPr>
        <w:t>'שימוע בדיעבד'</w:t>
      </w:r>
      <w:r w:rsidRPr="003042EC">
        <w:rPr>
          <w:rFonts w:ascii="David" w:eastAsia="Calibri" w:hAnsi="David"/>
          <w:rtl/>
        </w:rPr>
        <w:t xml:space="preserve"> </w:t>
      </w:r>
      <w:r w:rsidRPr="003042EC">
        <w:rPr>
          <w:rFonts w:ascii="David" w:hAnsi="David"/>
          <w:rtl/>
        </w:rPr>
        <w:t xml:space="preserve">(ראו והשוו, </w:t>
      </w:r>
      <w:r w:rsidRPr="003042EC">
        <w:rPr>
          <w:rFonts w:ascii="David" w:hAnsi="David"/>
          <w:u w:val="single"/>
          <w:rtl/>
        </w:rPr>
        <w:t>לרע"פ 3588/16</w:t>
      </w:r>
      <w:r w:rsidRPr="003042EC">
        <w:rPr>
          <w:rFonts w:ascii="David" w:hAnsi="David"/>
          <w:rtl/>
        </w:rPr>
        <w:t xml:space="preserve"> </w:t>
      </w:r>
      <w:r w:rsidRPr="003042EC">
        <w:rPr>
          <w:rFonts w:ascii="David" w:hAnsi="David"/>
          <w:b/>
          <w:bCs/>
          <w:rtl/>
        </w:rPr>
        <w:t>אסתר אלקובי נגד מדינת ישראל</w:t>
      </w:r>
      <w:r w:rsidRPr="003042EC">
        <w:rPr>
          <w:rFonts w:ascii="David" w:hAnsi="David"/>
          <w:rtl/>
        </w:rPr>
        <w:t xml:space="preserve"> [פורסם בנבו] (27.03.2017)), שם אמנם דובר במקרה שבו מכתבי היידוע ממח"ש לנאשמות שאין מקום לנקוט בהליכים כנגד הנילונים לא הגיע לידיהן ואולם דרך הביניים שבה נקט </w:t>
      </w:r>
      <w:r w:rsidRPr="003042EC">
        <w:rPr>
          <w:rFonts w:ascii="David" w:eastAsia="Calibri" w:hAnsi="David"/>
          <w:rtl/>
        </w:rPr>
        <w:t>בית</w:t>
      </w:r>
      <w:r w:rsidRPr="003042EC">
        <w:rPr>
          <w:rFonts w:ascii="David" w:eastAsia="Calibri" w:hAnsi="David"/>
          <w:vertAlign w:val="superscript"/>
          <w:rtl/>
        </w:rPr>
        <w:t>-</w:t>
      </w:r>
      <w:r w:rsidRPr="003042EC">
        <w:rPr>
          <w:rFonts w:ascii="David" w:eastAsia="Calibri" w:hAnsi="David"/>
          <w:rtl/>
        </w:rPr>
        <w:t>המשפט</w:t>
      </w:r>
      <w:r w:rsidRPr="003042EC">
        <w:rPr>
          <w:rFonts w:ascii="David" w:hAnsi="David"/>
          <w:rtl/>
        </w:rPr>
        <w:t xml:space="preserve">, לפיה מחד גיסא, האישום כנגד הנאשמות לא בוטל, ומאידך גיסא, התיק 'הוקפא', עד אשר תתברר תלונתן של הנאשמות מחדש במח"ש, כוחו יפה גם לעניינינו </w:t>
      </w:r>
      <w:r w:rsidRPr="003042EC">
        <w:rPr>
          <w:rFonts w:ascii="David" w:eastAsia="Calibri" w:hAnsi="David"/>
          <w:rtl/>
        </w:rPr>
        <w:t xml:space="preserve">(וראו לעניין זה בשנויים המחוייבים </w:t>
      </w:r>
      <w:r w:rsidRPr="003042EC">
        <w:rPr>
          <w:rFonts w:ascii="David" w:hAnsi="David"/>
          <w:rtl/>
        </w:rPr>
        <w:t>גם,</w:t>
      </w:r>
      <w:r w:rsidRPr="003042EC">
        <w:rPr>
          <w:rFonts w:ascii="David" w:hAnsi="David"/>
          <w:u w:val="single"/>
          <w:rtl/>
        </w:rPr>
        <w:t xml:space="preserve"> ת"פ (שלום ת"א) 13073-08-16 </w:t>
      </w:r>
      <w:r w:rsidRPr="003042EC">
        <w:rPr>
          <w:rFonts w:ascii="David" w:hAnsi="David"/>
          <w:b/>
          <w:bCs/>
          <w:rtl/>
        </w:rPr>
        <w:t>מדינת ישראל נגד רודיאון שרפמן</w:t>
      </w:r>
      <w:r w:rsidRPr="003042EC">
        <w:rPr>
          <w:rFonts w:ascii="David" w:hAnsi="David"/>
          <w:rtl/>
        </w:rPr>
        <w:t xml:space="preserve"> [פורסם בנבו] (06.12.2017); </w:t>
      </w:r>
      <w:r w:rsidRPr="003042EC">
        <w:rPr>
          <w:rFonts w:ascii="David" w:hAnsi="David"/>
          <w:u w:val="single"/>
          <w:rtl/>
        </w:rPr>
        <w:t>ת"פ (שלום באר שבע)  40681-09-10</w:t>
      </w:r>
      <w:r w:rsidRPr="003042EC">
        <w:rPr>
          <w:rFonts w:ascii="David" w:hAnsi="David"/>
          <w:rtl/>
        </w:rPr>
        <w:t xml:space="preserve"> </w:t>
      </w:r>
      <w:r w:rsidRPr="003042EC">
        <w:rPr>
          <w:rFonts w:ascii="David" w:hAnsi="David"/>
          <w:b/>
          <w:bCs/>
          <w:rtl/>
        </w:rPr>
        <w:t>מדינת ישראל נ' חנן אזולאי</w:t>
      </w:r>
      <w:r w:rsidRPr="003042EC">
        <w:rPr>
          <w:rFonts w:ascii="David" w:hAnsi="David"/>
          <w:rtl/>
        </w:rPr>
        <w:t xml:space="preserve"> [פורסם בנבו] (16.11.2011);  </w:t>
      </w:r>
      <w:r w:rsidRPr="003042EC">
        <w:rPr>
          <w:rFonts w:ascii="David" w:hAnsi="David"/>
          <w:u w:val="single"/>
          <w:rtl/>
        </w:rPr>
        <w:t>ת"פ (שלום קרית גת) 13053-08-19</w:t>
      </w:r>
      <w:r w:rsidRPr="003042EC">
        <w:rPr>
          <w:rFonts w:ascii="David" w:hAnsi="David"/>
          <w:rtl/>
        </w:rPr>
        <w:t xml:space="preserve"> </w:t>
      </w:r>
      <w:r w:rsidRPr="003042EC">
        <w:rPr>
          <w:rFonts w:ascii="David" w:hAnsi="David"/>
          <w:b/>
          <w:bCs/>
          <w:rtl/>
        </w:rPr>
        <w:t>מדינת ישראל נ' שחר דורון</w:t>
      </w:r>
      <w:r w:rsidRPr="003042EC">
        <w:rPr>
          <w:rFonts w:ascii="David" w:hAnsi="David"/>
          <w:rtl/>
        </w:rPr>
        <w:t xml:space="preserve"> [פורסם בנבו] (16.11.2011); </w:t>
      </w:r>
      <w:r w:rsidRPr="003042EC">
        <w:rPr>
          <w:rFonts w:ascii="David" w:hAnsi="David"/>
          <w:u w:val="single"/>
          <w:rtl/>
        </w:rPr>
        <w:t>ת"פ (שלום ירושלים) 20337-08-14</w:t>
      </w:r>
      <w:r w:rsidRPr="003042EC">
        <w:rPr>
          <w:rFonts w:ascii="David" w:hAnsi="David"/>
          <w:rtl/>
        </w:rPr>
        <w:t xml:space="preserve"> </w:t>
      </w:r>
      <w:r w:rsidRPr="003042EC">
        <w:rPr>
          <w:rFonts w:ascii="David" w:hAnsi="David"/>
          <w:b/>
          <w:bCs/>
          <w:rtl/>
        </w:rPr>
        <w:t xml:space="preserve">מדינת ישראל נ' אליאב קמינר </w:t>
      </w:r>
      <w:r w:rsidRPr="003042EC">
        <w:rPr>
          <w:rFonts w:ascii="David" w:hAnsi="David"/>
          <w:rtl/>
        </w:rPr>
        <w:t xml:space="preserve">[פורסם בנבו] (22.03.2015)); </w:t>
      </w:r>
      <w:r w:rsidRPr="003042EC">
        <w:rPr>
          <w:rFonts w:ascii="David" w:hAnsi="David"/>
          <w:u w:val="single"/>
          <w:rtl/>
        </w:rPr>
        <w:t>ת"פ (תל אביב-יפו) 18511-04-17</w:t>
      </w:r>
      <w:r w:rsidRPr="003042EC">
        <w:rPr>
          <w:rFonts w:ascii="David" w:hAnsi="David"/>
          <w:rtl/>
        </w:rPr>
        <w:t xml:space="preserve"> </w:t>
      </w:r>
      <w:r w:rsidRPr="003042EC">
        <w:rPr>
          <w:rFonts w:ascii="David" w:hAnsi="David"/>
          <w:b/>
          <w:bCs/>
          <w:rtl/>
        </w:rPr>
        <w:t>מדינת ישראל נ' איתי רפאל</w:t>
      </w:r>
      <w:r w:rsidRPr="003042EC">
        <w:rPr>
          <w:rFonts w:ascii="David" w:hAnsi="David"/>
          <w:rtl/>
        </w:rPr>
        <w:t xml:space="preserve"> </w:t>
      </w:r>
      <w:r w:rsidRPr="003042EC">
        <w:rPr>
          <w:rFonts w:ascii="David" w:hAnsi="David"/>
          <w:b/>
          <w:bCs/>
          <w:rtl/>
        </w:rPr>
        <w:t>ברלינסקי</w:t>
      </w:r>
      <w:r w:rsidRPr="003042EC">
        <w:rPr>
          <w:rFonts w:ascii="David" w:hAnsi="David"/>
          <w:rtl/>
        </w:rPr>
        <w:t xml:space="preserve"> [פורסם בנבו] (14.02.2019); </w:t>
      </w:r>
      <w:r w:rsidRPr="003042EC">
        <w:rPr>
          <w:rFonts w:ascii="David" w:hAnsi="David"/>
          <w:u w:val="single"/>
          <w:rtl/>
        </w:rPr>
        <w:t>ות"פ (פתח תקוה) 54962-03-21</w:t>
      </w:r>
      <w:r w:rsidRPr="003042EC">
        <w:rPr>
          <w:rFonts w:ascii="David" w:hAnsi="David"/>
          <w:rtl/>
        </w:rPr>
        <w:t xml:space="preserve"> </w:t>
      </w:r>
      <w:r w:rsidRPr="003042EC">
        <w:rPr>
          <w:rFonts w:ascii="David" w:hAnsi="David"/>
          <w:b/>
          <w:bCs/>
          <w:rtl/>
        </w:rPr>
        <w:t>זמטה מיטיקו נ' מדינת ישראל</w:t>
      </w:r>
      <w:r w:rsidRPr="003042EC">
        <w:rPr>
          <w:rFonts w:ascii="David" w:hAnsi="David"/>
          <w:rtl/>
        </w:rPr>
        <w:t xml:space="preserve"> [פורסם בנבו] (18.04.2023)).</w:t>
      </w:r>
    </w:p>
    <w:p w:rsidR="003042EC" w:rsidRPr="003042EC" w:rsidRDefault="003042EC" w:rsidP="00383A31">
      <w:pPr>
        <w:pStyle w:val="af1"/>
        <w:numPr>
          <w:ilvl w:val="0"/>
          <w:numId w:val="2"/>
        </w:numPr>
        <w:spacing w:line="360" w:lineRule="auto"/>
        <w:ind w:left="-58" w:hanging="425"/>
        <w:jc w:val="both"/>
        <w:rPr>
          <w:rFonts w:ascii="David" w:eastAsia="Calibri" w:hAnsi="David"/>
        </w:rPr>
      </w:pPr>
      <w:r w:rsidRPr="003042EC">
        <w:rPr>
          <w:rFonts w:ascii="David" w:eastAsia="Calibri" w:hAnsi="David"/>
          <w:rtl/>
        </w:rPr>
        <w:lastRenderedPageBreak/>
        <w:t xml:space="preserve">לדידי, יהא בכך כדי לאזן בין הפגם שנפל במעשיה של התביעה והפגיעה בנאשם לבין האינטרס הציבורי, עת יש בנמצא אמצעי מידתי ומתון יותר שיש בכוחו להביא לריפוי הפגם. </w:t>
      </w:r>
    </w:p>
    <w:p w:rsidR="003042EC" w:rsidRPr="003042EC" w:rsidRDefault="003042EC" w:rsidP="00383A31">
      <w:pPr>
        <w:pStyle w:val="af1"/>
        <w:numPr>
          <w:ilvl w:val="0"/>
          <w:numId w:val="2"/>
        </w:numPr>
        <w:shd w:val="clear" w:color="auto" w:fill="FFFFFF"/>
        <w:spacing w:line="360" w:lineRule="auto"/>
        <w:ind w:left="-58"/>
        <w:jc w:val="both"/>
        <w:rPr>
          <w:rFonts w:ascii="David" w:hAnsi="David"/>
        </w:rPr>
      </w:pPr>
      <w:r w:rsidRPr="003042EC">
        <w:rPr>
          <w:rFonts w:ascii="David" w:hAnsi="David"/>
          <w:rtl/>
        </w:rPr>
        <w:t xml:space="preserve">במאמר מוסגר יוער (ואקדים את המאוחר), כי משמצאתי שהתנהלות המאשימה אינה מצדיקה את ביטולו של כתב האישום, עת יש בנמצא אמצעי מידתי ומתון יותר שיש בכוחו להביא לריפוי הפגם שבהעדר יידוע הנאשם על אודות הגשת הערר והאפשרות כי יוגש נגדו כתב אישום, וכפועל יוצא מכך בפגיעה בזכות השימוע של הנאשם עדיין, לא ניתן להתנער מהרושם כי במקרה זה התנהלותה של התביעה ובכלל זה אי הבהירויות שעליהן עמדתי לעיל, הביאה לפגיעת־מה בתחושת הצדק וההגינות המצדיקה, כך לדידי, הקלה בעונש ככל שתעמוד המאשימה על הגשת כתב האישום בסופו של יום וימצא כי אכן הנאשם ביצע את המעשים המיוחסים לו – וכל זאת למען </w:t>
      </w:r>
      <w:r w:rsidRPr="003042EC">
        <w:rPr>
          <w:rFonts w:ascii="David" w:hAnsi="David"/>
          <w:b/>
          <w:bCs/>
          <w:rtl/>
        </w:rPr>
        <w:t xml:space="preserve">"ישמע חכם ויוסף לקח..." </w:t>
      </w:r>
      <w:r w:rsidRPr="003042EC">
        <w:rPr>
          <w:rFonts w:ascii="David" w:hAnsi="David"/>
          <w:rtl/>
        </w:rPr>
        <w:t>(משלי, א, ה) ולמען יחידת התביעות המשטרתית לא תקלע למצב שבו:</w:t>
      </w:r>
    </w:p>
    <w:p w:rsidR="003042EC" w:rsidRPr="003042EC" w:rsidRDefault="003042EC" w:rsidP="00383A31">
      <w:pPr>
        <w:pStyle w:val="af1"/>
        <w:shd w:val="clear" w:color="auto" w:fill="FFFFFF"/>
        <w:spacing w:line="360" w:lineRule="auto"/>
        <w:ind w:left="-58"/>
        <w:jc w:val="both"/>
        <w:rPr>
          <w:rFonts w:ascii="David" w:hAnsi="David"/>
          <w:b/>
          <w:bCs/>
        </w:rPr>
      </w:pPr>
      <w:r w:rsidRPr="003042EC">
        <w:rPr>
          <w:rFonts w:ascii="David" w:hAnsi="David"/>
          <w:b/>
          <w:bCs/>
          <w:rtl/>
        </w:rPr>
        <w:t>"כולם שיבחו את המשורר</w:t>
      </w:r>
    </w:p>
    <w:p w:rsidR="00383A31" w:rsidRDefault="003042EC" w:rsidP="00383A31">
      <w:pPr>
        <w:pStyle w:val="af1"/>
        <w:shd w:val="clear" w:color="auto" w:fill="FFFFFF"/>
        <w:spacing w:line="360" w:lineRule="auto"/>
        <w:ind w:left="-58"/>
        <w:jc w:val="both"/>
        <w:rPr>
          <w:rFonts w:ascii="David" w:hAnsi="David"/>
          <w:b/>
          <w:bCs/>
          <w:rtl/>
        </w:rPr>
      </w:pPr>
      <w:r w:rsidRPr="003042EC">
        <w:rPr>
          <w:rFonts w:ascii="David" w:hAnsi="David"/>
          <w:b/>
          <w:bCs/>
          <w:rtl/>
        </w:rPr>
        <w:t xml:space="preserve">אבל את השיר </w:t>
      </w:r>
    </w:p>
    <w:p w:rsidR="003042EC" w:rsidRPr="003042EC" w:rsidRDefault="003042EC" w:rsidP="00383A31">
      <w:pPr>
        <w:pStyle w:val="af1"/>
        <w:shd w:val="clear" w:color="auto" w:fill="FFFFFF"/>
        <w:spacing w:line="360" w:lineRule="auto"/>
        <w:ind w:left="-58"/>
        <w:jc w:val="both"/>
        <w:rPr>
          <w:rFonts w:ascii="David" w:hAnsi="David"/>
        </w:rPr>
      </w:pPr>
      <w:r w:rsidRPr="003042EC">
        <w:rPr>
          <w:rFonts w:ascii="David" w:hAnsi="David"/>
          <w:b/>
          <w:bCs/>
          <w:rtl/>
        </w:rPr>
        <w:t xml:space="preserve">איש לא הבין ... </w:t>
      </w:r>
      <w:r w:rsidRPr="003042EC">
        <w:rPr>
          <w:rFonts w:ascii="David" w:hAnsi="David"/>
          <w:rtl/>
        </w:rPr>
        <w:t>" (מתוך שירו של פרופ' דורון מנשה "השיר קם על יוצרו" הוצאת סלונט/טוטם, 2021) –  כך שלא יישנו הדברים (ראו והשוו</w:t>
      </w:r>
      <w:r w:rsidRPr="003042EC">
        <w:rPr>
          <w:rFonts w:ascii="David" w:hAnsi="David"/>
          <w:u w:val="single"/>
          <w:rtl/>
        </w:rPr>
        <w:t xml:space="preserve">, ע"פ 1840/16 </w:t>
      </w:r>
      <w:r w:rsidRPr="003042EC">
        <w:rPr>
          <w:rFonts w:ascii="David" w:hAnsi="David"/>
          <w:b/>
          <w:bCs/>
          <w:rtl/>
        </w:rPr>
        <w:t>יהודה אדרי נגד מדינת ישראל</w:t>
      </w:r>
      <w:r w:rsidRPr="003042EC">
        <w:rPr>
          <w:rFonts w:ascii="David" w:hAnsi="David"/>
          <w:rtl/>
        </w:rPr>
        <w:t xml:space="preserve"> [פורסם בנבו] (01.02.2017); </w:t>
      </w:r>
      <w:r w:rsidRPr="003042EC">
        <w:rPr>
          <w:rFonts w:ascii="David" w:hAnsi="David"/>
          <w:u w:val="single"/>
          <w:rtl/>
        </w:rPr>
        <w:t>ע"פ</w:t>
      </w:r>
      <w:r w:rsidRPr="003042EC">
        <w:rPr>
          <w:rFonts w:ascii="David" w:hAnsi="David"/>
          <w:b/>
          <w:bCs/>
          <w:u w:val="single"/>
          <w:rtl/>
        </w:rPr>
        <w:t xml:space="preserve"> </w:t>
      </w:r>
      <w:r w:rsidRPr="003042EC">
        <w:rPr>
          <w:rFonts w:ascii="David" w:hAnsi="David"/>
          <w:u w:val="single"/>
          <w:rtl/>
        </w:rPr>
        <w:t>9141/10</w:t>
      </w:r>
      <w:r w:rsidRPr="003042EC">
        <w:rPr>
          <w:rFonts w:ascii="David" w:hAnsi="David"/>
          <w:b/>
          <w:bCs/>
          <w:u w:val="single"/>
          <w:rtl/>
        </w:rPr>
        <w:t xml:space="preserve"> </w:t>
      </w:r>
      <w:r w:rsidRPr="003042EC">
        <w:rPr>
          <w:rFonts w:ascii="David" w:hAnsi="David"/>
          <w:b/>
          <w:bCs/>
          <w:rtl/>
        </w:rPr>
        <w:t xml:space="preserve">אברהם סטואר נגד מדינת ישראל </w:t>
      </w:r>
      <w:r w:rsidRPr="003042EC">
        <w:rPr>
          <w:rFonts w:ascii="David" w:hAnsi="David"/>
          <w:rtl/>
        </w:rPr>
        <w:t>[פורסם בנבו] (28.04.2014</w:t>
      </w:r>
      <w:r w:rsidRPr="003042EC">
        <w:rPr>
          <w:rFonts w:ascii="David" w:hAnsi="David"/>
          <w:b/>
          <w:bCs/>
          <w:rtl/>
        </w:rPr>
        <w:t xml:space="preserve">); </w:t>
      </w:r>
      <w:r w:rsidRPr="003042EC">
        <w:rPr>
          <w:rFonts w:ascii="David" w:hAnsi="David"/>
          <w:u w:val="single"/>
          <w:rtl/>
        </w:rPr>
        <w:t>ע"פ 1361/10</w:t>
      </w:r>
      <w:r w:rsidRPr="003042EC">
        <w:rPr>
          <w:rFonts w:ascii="David" w:hAnsi="David"/>
          <w:rtl/>
        </w:rPr>
        <w:t xml:space="preserve"> </w:t>
      </w:r>
      <w:r w:rsidRPr="003042EC">
        <w:rPr>
          <w:rFonts w:ascii="David" w:hAnsi="David"/>
          <w:b/>
          <w:bCs/>
          <w:rtl/>
        </w:rPr>
        <w:t>מדינת ישראל נ' יניב זגורי</w:t>
      </w:r>
      <w:r w:rsidRPr="003042EC">
        <w:rPr>
          <w:rFonts w:ascii="David" w:hAnsi="David"/>
          <w:rtl/>
        </w:rPr>
        <w:t xml:space="preserve"> [פורסם בנבו] (02.06.2011) </w:t>
      </w:r>
      <w:r w:rsidRPr="003042EC">
        <w:rPr>
          <w:rFonts w:ascii="David" w:hAnsi="David"/>
        </w:rPr>
        <w:t>;</w:t>
      </w:r>
      <w:r w:rsidRPr="003042EC">
        <w:rPr>
          <w:rFonts w:ascii="David" w:hAnsi="David"/>
          <w:u w:val="single"/>
          <w:rtl/>
        </w:rPr>
        <w:t xml:space="preserve">ת"פ (באר שבע) 38567-02-12 </w:t>
      </w:r>
      <w:r w:rsidRPr="003042EC">
        <w:rPr>
          <w:rFonts w:ascii="David" w:hAnsi="David"/>
          <w:b/>
          <w:bCs/>
          <w:rtl/>
        </w:rPr>
        <w:t xml:space="preserve">מדינת ישראל נ' בהאל עבד אלעאל </w:t>
      </w:r>
      <w:r w:rsidRPr="003042EC">
        <w:rPr>
          <w:rFonts w:ascii="David" w:hAnsi="David"/>
          <w:rtl/>
        </w:rPr>
        <w:t xml:space="preserve">[פורסם בנבו] (01.06.2012); </w:t>
      </w:r>
      <w:r w:rsidRPr="003042EC">
        <w:rPr>
          <w:rFonts w:ascii="David" w:hAnsi="David"/>
          <w:u w:val="single"/>
          <w:rtl/>
        </w:rPr>
        <w:t>ת"פ (שלום אשקלון) 15208-11-20</w:t>
      </w:r>
      <w:r w:rsidRPr="003042EC">
        <w:rPr>
          <w:rFonts w:ascii="David" w:hAnsi="David"/>
          <w:b/>
          <w:bCs/>
          <w:rtl/>
        </w:rPr>
        <w:t xml:space="preserve"> מדינת ישראל נ' שמעון בן לולו </w:t>
      </w:r>
      <w:r w:rsidRPr="003042EC">
        <w:rPr>
          <w:rFonts w:ascii="David" w:hAnsi="David"/>
          <w:rtl/>
        </w:rPr>
        <w:t>[פורסם בנבו] (20.07.2021)</w:t>
      </w:r>
      <w:r w:rsidRPr="003042EC">
        <w:rPr>
          <w:rFonts w:ascii="David" w:hAnsi="David"/>
          <w:b/>
          <w:bCs/>
          <w:rtl/>
        </w:rPr>
        <w:t xml:space="preserve">; </w:t>
      </w:r>
      <w:r w:rsidRPr="003042EC">
        <w:rPr>
          <w:rFonts w:ascii="David" w:hAnsi="David"/>
          <w:u w:val="single"/>
          <w:rtl/>
        </w:rPr>
        <w:t>עפ"ת (מחוזי חיפה) 56446-02-20</w:t>
      </w:r>
      <w:r w:rsidRPr="003042EC">
        <w:rPr>
          <w:rFonts w:ascii="David" w:hAnsi="David"/>
          <w:b/>
          <w:bCs/>
          <w:rtl/>
        </w:rPr>
        <w:t xml:space="preserve"> גבור קיש נ' מדינת ישראל </w:t>
      </w:r>
      <w:r w:rsidRPr="003042EC">
        <w:rPr>
          <w:rFonts w:ascii="David" w:hAnsi="David"/>
          <w:rtl/>
        </w:rPr>
        <w:t>[פורסם בנבו] (05.07.2020)</w:t>
      </w:r>
      <w:r w:rsidRPr="003042EC">
        <w:rPr>
          <w:rFonts w:ascii="David" w:hAnsi="David"/>
          <w:b/>
          <w:bCs/>
          <w:rtl/>
        </w:rPr>
        <w:t xml:space="preserve">; </w:t>
      </w:r>
      <w:r w:rsidRPr="003042EC">
        <w:rPr>
          <w:rFonts w:ascii="David" w:hAnsi="David"/>
          <w:u w:val="single"/>
          <w:rtl/>
        </w:rPr>
        <w:t>תפ"ח (מחוזי נצרת) 51738-02-18</w:t>
      </w:r>
      <w:r w:rsidRPr="003042EC">
        <w:rPr>
          <w:rFonts w:ascii="David" w:hAnsi="David"/>
          <w:rtl/>
        </w:rPr>
        <w:t xml:space="preserve"> </w:t>
      </w:r>
      <w:r w:rsidRPr="003042EC">
        <w:rPr>
          <w:rFonts w:ascii="David" w:hAnsi="David"/>
          <w:b/>
          <w:bCs/>
          <w:rtl/>
        </w:rPr>
        <w:t xml:space="preserve">מדינת ישראל נ' פולסאנג קומפונימיט </w:t>
      </w:r>
      <w:r w:rsidRPr="003042EC">
        <w:rPr>
          <w:rFonts w:ascii="David" w:hAnsi="David"/>
          <w:rtl/>
        </w:rPr>
        <w:t xml:space="preserve">[פורסם בנבו] (15.08.2018); </w:t>
      </w:r>
      <w:r w:rsidRPr="003042EC">
        <w:rPr>
          <w:rFonts w:ascii="David" w:hAnsi="David"/>
          <w:u w:val="single"/>
          <w:rtl/>
        </w:rPr>
        <w:t>ע"פ 481/12</w:t>
      </w:r>
      <w:r w:rsidRPr="003042EC">
        <w:rPr>
          <w:rFonts w:ascii="David" w:hAnsi="David"/>
          <w:rtl/>
        </w:rPr>
        <w:t xml:space="preserve"> </w:t>
      </w:r>
      <w:r w:rsidRPr="003042EC">
        <w:rPr>
          <w:rFonts w:ascii="David" w:hAnsi="David"/>
          <w:b/>
          <w:bCs/>
          <w:rtl/>
        </w:rPr>
        <w:t>פלוני נ' מדינת ישראל</w:t>
      </w:r>
      <w:r w:rsidRPr="003042EC">
        <w:rPr>
          <w:rFonts w:ascii="David" w:hAnsi="David"/>
          <w:rtl/>
        </w:rPr>
        <w:t xml:space="preserve"> [פורסם בנבו] (30.12.2014); </w:t>
      </w:r>
      <w:r w:rsidRPr="003042EC">
        <w:rPr>
          <w:rFonts w:ascii="David" w:hAnsi="David"/>
          <w:u w:val="single"/>
          <w:rtl/>
        </w:rPr>
        <w:t>ע"פ 482/20</w:t>
      </w:r>
      <w:r w:rsidRPr="003042EC">
        <w:rPr>
          <w:rFonts w:ascii="David" w:hAnsi="David"/>
          <w:rtl/>
        </w:rPr>
        <w:t xml:space="preserve"> </w:t>
      </w:r>
      <w:r w:rsidRPr="003042EC">
        <w:rPr>
          <w:rFonts w:ascii="David" w:hAnsi="David"/>
          <w:b/>
          <w:bCs/>
          <w:rtl/>
        </w:rPr>
        <w:t>כסאב מטר נ' מדינת ישראל</w:t>
      </w:r>
      <w:r w:rsidRPr="003042EC">
        <w:rPr>
          <w:rFonts w:ascii="David" w:hAnsi="David"/>
          <w:rtl/>
        </w:rPr>
        <w:t xml:space="preserve"> [פורסם בנבו] (04.06.2020); </w:t>
      </w:r>
      <w:r w:rsidRPr="003042EC">
        <w:rPr>
          <w:rFonts w:ascii="David" w:hAnsi="David"/>
          <w:u w:val="single"/>
          <w:rtl/>
        </w:rPr>
        <w:t>ת"פ (שלום תל אביב-יפו) 33190-04-17</w:t>
      </w:r>
      <w:r w:rsidRPr="003042EC">
        <w:rPr>
          <w:rFonts w:ascii="David" w:hAnsi="David"/>
          <w:rtl/>
        </w:rPr>
        <w:t xml:space="preserve"> </w:t>
      </w:r>
      <w:r w:rsidRPr="003042EC">
        <w:rPr>
          <w:rFonts w:ascii="David" w:hAnsi="David"/>
          <w:b/>
          <w:bCs/>
          <w:rtl/>
        </w:rPr>
        <w:t>מדינת ישראל נ' דב הרמן</w:t>
      </w:r>
      <w:r w:rsidRPr="003042EC">
        <w:rPr>
          <w:rFonts w:ascii="David" w:hAnsi="David"/>
          <w:rtl/>
        </w:rPr>
        <w:t xml:space="preserve"> [פורסם בנבו] (27.06.2019); </w:t>
      </w:r>
      <w:r w:rsidRPr="003042EC">
        <w:rPr>
          <w:rFonts w:ascii="David" w:hAnsi="David"/>
          <w:u w:val="single"/>
          <w:rtl/>
        </w:rPr>
        <w:t>ות"פ (שלום קרית גת) 13053-08-19</w:t>
      </w:r>
      <w:r w:rsidRPr="003042EC">
        <w:rPr>
          <w:rFonts w:ascii="David" w:hAnsi="David"/>
          <w:rtl/>
        </w:rPr>
        <w:t xml:space="preserve"> </w:t>
      </w:r>
      <w:r w:rsidRPr="003042EC">
        <w:rPr>
          <w:rFonts w:ascii="David" w:hAnsi="David"/>
          <w:b/>
          <w:bCs/>
          <w:rtl/>
        </w:rPr>
        <w:t>מדינת ישראל נ' שחר דורון</w:t>
      </w:r>
      <w:r w:rsidRPr="003042EC">
        <w:rPr>
          <w:rFonts w:ascii="David" w:hAnsi="David"/>
          <w:rtl/>
        </w:rPr>
        <w:t xml:space="preserve"> [פורסם בנבו] (16.11.2011).</w:t>
      </w:r>
    </w:p>
    <w:p w:rsidR="003042EC" w:rsidRPr="003042EC" w:rsidRDefault="003042EC" w:rsidP="00383A31">
      <w:pPr>
        <w:pStyle w:val="af1"/>
        <w:numPr>
          <w:ilvl w:val="0"/>
          <w:numId w:val="2"/>
        </w:numPr>
        <w:spacing w:line="360" w:lineRule="auto"/>
        <w:ind w:left="-58" w:hanging="425"/>
        <w:jc w:val="both"/>
        <w:rPr>
          <w:rFonts w:ascii="David" w:hAnsi="David"/>
        </w:rPr>
      </w:pPr>
      <w:r w:rsidRPr="003042EC">
        <w:rPr>
          <w:rFonts w:ascii="David" w:hAnsi="David"/>
          <w:rtl/>
        </w:rPr>
        <w:t xml:space="preserve">בנסיבות אלו מצאתי באיזונם של דברים להורות כדלקמן: </w:t>
      </w:r>
    </w:p>
    <w:p w:rsidR="003042EC" w:rsidRDefault="003042EC" w:rsidP="00383A31">
      <w:pPr>
        <w:pStyle w:val="af1"/>
        <w:numPr>
          <w:ilvl w:val="1"/>
          <w:numId w:val="2"/>
        </w:numPr>
        <w:spacing w:line="360" w:lineRule="auto"/>
        <w:ind w:left="360"/>
        <w:jc w:val="both"/>
        <w:rPr>
          <w:rFonts w:ascii="David" w:hAnsi="David"/>
        </w:rPr>
      </w:pPr>
      <w:r w:rsidRPr="003042EC">
        <w:rPr>
          <w:rFonts w:ascii="David" w:hAnsi="David"/>
          <w:rtl/>
        </w:rPr>
        <w:t>הסניגור יהא רשאי לפנות לתביעה בבקשה מנומקת, בכתב או בעל</w:t>
      </w:r>
      <w:r w:rsidRPr="003042EC">
        <w:rPr>
          <w:rFonts w:ascii="David" w:eastAsia="Calibri" w:hAnsi="David"/>
          <w:vertAlign w:val="superscript"/>
          <w:rtl/>
        </w:rPr>
        <w:t>-</w:t>
      </w:r>
      <w:r w:rsidRPr="003042EC">
        <w:rPr>
          <w:rFonts w:ascii="David" w:eastAsia="Calibri" w:hAnsi="David"/>
          <w:rtl/>
        </w:rPr>
        <w:t>פה</w:t>
      </w:r>
      <w:r w:rsidR="00383A31">
        <w:rPr>
          <w:rFonts w:ascii="David" w:eastAsia="Calibri" w:hAnsi="David" w:hint="cs"/>
          <w:rtl/>
        </w:rPr>
        <w:t>,</w:t>
      </w:r>
      <w:r w:rsidRPr="003042EC">
        <w:rPr>
          <w:rFonts w:ascii="David" w:eastAsia="Calibri" w:hAnsi="David"/>
          <w:rtl/>
        </w:rPr>
        <w:t xml:space="preserve"> </w:t>
      </w:r>
      <w:r w:rsidRPr="003042EC">
        <w:rPr>
          <w:rFonts w:ascii="David" w:hAnsi="David"/>
          <w:rtl/>
        </w:rPr>
        <w:t xml:space="preserve">להימנע מהגשת כתב האישום, או למעשה לחזור מכתב האישום שהוגש טרם מענה, וזאת בתוך 60 יום מהיום. ברי, כי על המאשימה יהיה לקיים 'שימוע בדיעבד' ולשקול את העניין מלכתחילה, בלב פתוח ונפש חפצה כאילו לא הוגש כלל כתב האישום מחדש בעניינו של הנאשם. </w:t>
      </w:r>
    </w:p>
    <w:p w:rsidR="00C26A43" w:rsidRPr="003042EC" w:rsidRDefault="00C26A43" w:rsidP="00C26A43">
      <w:pPr>
        <w:pStyle w:val="af1"/>
        <w:spacing w:line="360" w:lineRule="auto"/>
        <w:ind w:left="360"/>
        <w:jc w:val="both"/>
        <w:rPr>
          <w:rFonts w:ascii="David" w:hAnsi="David"/>
        </w:rPr>
      </w:pPr>
    </w:p>
    <w:p w:rsidR="003042EC" w:rsidRPr="00C26A43" w:rsidRDefault="003042EC" w:rsidP="00383A31">
      <w:pPr>
        <w:pStyle w:val="af1"/>
        <w:numPr>
          <w:ilvl w:val="1"/>
          <w:numId w:val="2"/>
        </w:numPr>
        <w:spacing w:line="360" w:lineRule="auto"/>
        <w:ind w:left="360"/>
        <w:jc w:val="both"/>
        <w:rPr>
          <w:rFonts w:ascii="David" w:hAnsi="David"/>
        </w:rPr>
      </w:pPr>
      <w:r w:rsidRPr="003042EC">
        <w:rPr>
          <w:rFonts w:ascii="David" w:eastAsia="Calibri" w:hAnsi="David"/>
          <w:rtl/>
        </w:rPr>
        <w:t xml:space="preserve">ההליך שלפניי 'יוקפא' עד לתום הליך השימוע. </w:t>
      </w:r>
    </w:p>
    <w:p w:rsidR="00C26A43" w:rsidRPr="00C26A43" w:rsidRDefault="00C26A43" w:rsidP="00C26A43">
      <w:pPr>
        <w:pStyle w:val="af1"/>
        <w:rPr>
          <w:rFonts w:ascii="David" w:hAnsi="David"/>
          <w:rtl/>
        </w:rPr>
      </w:pPr>
    </w:p>
    <w:p w:rsidR="00C26A43" w:rsidRPr="003042EC" w:rsidRDefault="00C26A43" w:rsidP="00C26A43">
      <w:pPr>
        <w:pStyle w:val="af1"/>
        <w:spacing w:line="360" w:lineRule="auto"/>
        <w:ind w:left="360"/>
        <w:jc w:val="both"/>
        <w:rPr>
          <w:rFonts w:ascii="David" w:hAnsi="David"/>
        </w:rPr>
      </w:pPr>
    </w:p>
    <w:p w:rsidR="003042EC" w:rsidRDefault="003042EC" w:rsidP="00C26A43">
      <w:pPr>
        <w:pStyle w:val="af1"/>
        <w:numPr>
          <w:ilvl w:val="1"/>
          <w:numId w:val="2"/>
        </w:numPr>
        <w:spacing w:line="360" w:lineRule="auto"/>
        <w:ind w:left="360"/>
        <w:jc w:val="both"/>
        <w:rPr>
          <w:rFonts w:ascii="David" w:hAnsi="David"/>
        </w:rPr>
      </w:pPr>
      <w:r w:rsidRPr="003042EC">
        <w:rPr>
          <w:rFonts w:ascii="David" w:eastAsia="Calibri" w:hAnsi="David"/>
          <w:rtl/>
        </w:rPr>
        <w:lastRenderedPageBreak/>
        <w:t>הנני קובעת לתזכורת במעמד הצדדים ליום</w:t>
      </w:r>
      <w:r w:rsidRPr="003042EC">
        <w:rPr>
          <w:rFonts w:ascii="David" w:eastAsia="Calibri" w:hAnsi="David"/>
          <w:b/>
          <w:bCs/>
          <w:rtl/>
        </w:rPr>
        <w:t xml:space="preserve"> </w:t>
      </w:r>
      <w:r w:rsidR="00C26A43">
        <w:rPr>
          <w:rFonts w:ascii="David" w:eastAsia="Calibri" w:hAnsi="David" w:hint="cs"/>
          <w:b/>
          <w:bCs/>
          <w:u w:val="single"/>
          <w:rtl/>
        </w:rPr>
        <w:t>18</w:t>
      </w:r>
      <w:r w:rsidRPr="003042EC">
        <w:rPr>
          <w:rFonts w:ascii="David" w:eastAsia="Calibri" w:hAnsi="David"/>
          <w:b/>
          <w:bCs/>
          <w:u w:val="single"/>
          <w:rtl/>
        </w:rPr>
        <w:t xml:space="preserve">.10.2023 בשעה </w:t>
      </w:r>
      <w:r w:rsidR="00C26A43">
        <w:rPr>
          <w:rFonts w:ascii="David" w:eastAsia="Calibri" w:hAnsi="David" w:hint="cs"/>
          <w:b/>
          <w:bCs/>
          <w:u w:val="single"/>
          <w:rtl/>
        </w:rPr>
        <w:t>10</w:t>
      </w:r>
      <w:r w:rsidRPr="003042EC">
        <w:rPr>
          <w:rFonts w:ascii="David" w:eastAsia="Calibri" w:hAnsi="David"/>
          <w:b/>
          <w:bCs/>
          <w:u w:val="single"/>
          <w:rtl/>
        </w:rPr>
        <w:t>:00</w:t>
      </w:r>
      <w:r w:rsidRPr="003042EC">
        <w:rPr>
          <w:rFonts w:ascii="David" w:eastAsia="Calibri" w:hAnsi="David"/>
          <w:u w:val="single"/>
          <w:rtl/>
        </w:rPr>
        <w:t xml:space="preserve"> </w:t>
      </w:r>
      <w:r w:rsidRPr="003042EC">
        <w:rPr>
          <w:rFonts w:ascii="David" w:eastAsia="Calibri" w:hAnsi="David"/>
          <w:rtl/>
        </w:rPr>
        <w:t xml:space="preserve">לצורך מעקב אחר </w:t>
      </w:r>
      <w:r w:rsidRPr="003042EC">
        <w:rPr>
          <w:rFonts w:ascii="David" w:hAnsi="David"/>
          <w:rtl/>
        </w:rPr>
        <w:t xml:space="preserve">החלטת המאשימה. </w:t>
      </w:r>
    </w:p>
    <w:p w:rsidR="00C26A43" w:rsidRDefault="00C26A43" w:rsidP="00C26A43">
      <w:pPr>
        <w:pStyle w:val="af1"/>
        <w:spacing w:line="360" w:lineRule="auto"/>
        <w:ind w:left="360"/>
        <w:jc w:val="both"/>
        <w:rPr>
          <w:rFonts w:ascii="David" w:hAnsi="David"/>
        </w:rPr>
      </w:pPr>
    </w:p>
    <w:p w:rsidR="00383A31" w:rsidRPr="00383A31" w:rsidRDefault="00383A31" w:rsidP="00383A31">
      <w:pPr>
        <w:pStyle w:val="af1"/>
        <w:numPr>
          <w:ilvl w:val="1"/>
          <w:numId w:val="2"/>
        </w:numPr>
        <w:spacing w:line="360" w:lineRule="auto"/>
        <w:ind w:left="360"/>
        <w:jc w:val="both"/>
        <w:rPr>
          <w:rFonts w:ascii="David" w:hAnsi="David"/>
        </w:rPr>
      </w:pPr>
      <w:r>
        <w:rPr>
          <w:rFonts w:hint="cs"/>
          <w:rtl/>
        </w:rPr>
        <w:t xml:space="preserve">הנאשם מוזהר כי עליו להתייצב לדיון, שאם לא כן ייתכן והדיון יתקיים בהעדרו, וכן ייתכן כי יוצא לו צו הבאה. </w:t>
      </w:r>
    </w:p>
    <w:p w:rsidR="00383A31" w:rsidRPr="00C26A43" w:rsidRDefault="00383A31" w:rsidP="00383A31">
      <w:pPr>
        <w:spacing w:line="360" w:lineRule="auto"/>
        <w:jc w:val="both"/>
        <w:rPr>
          <w:rFonts w:ascii="David" w:hAnsi="David"/>
          <w:b/>
          <w:bCs/>
          <w:rtl/>
        </w:rPr>
      </w:pPr>
    </w:p>
    <w:p w:rsidR="00694556" w:rsidRPr="008C0C99" w:rsidRDefault="0043502B" w:rsidP="00383A31">
      <w:pPr>
        <w:spacing w:line="360" w:lineRule="auto"/>
        <w:jc w:val="both"/>
        <w:rPr>
          <w:rFonts w:ascii="David" w:hAnsi="David"/>
          <w:b/>
          <w:bCs/>
          <w:rtl/>
        </w:rPr>
      </w:pPr>
      <w:r w:rsidRPr="008C0C99">
        <w:rPr>
          <w:rFonts w:ascii="David" w:hAnsi="David"/>
          <w:b/>
          <w:bCs/>
          <w:rtl/>
        </w:rPr>
        <w:t>ניתנה</w:t>
      </w:r>
      <w:r w:rsidR="00005C8B" w:rsidRPr="008C0C99">
        <w:rPr>
          <w:rFonts w:ascii="David" w:hAnsi="David"/>
          <w:b/>
          <w:bCs/>
          <w:rtl/>
        </w:rPr>
        <w:t xml:space="preserve"> היום, </w:t>
      </w:r>
      <w:sdt>
        <w:sdtPr>
          <w:rPr>
            <w:rFonts w:ascii="David" w:hAnsi="David"/>
            <w:b/>
            <w:bCs/>
            <w:rtl/>
          </w:rPr>
          <w:alias w:val="1455"/>
          <w:tag w:val="1455"/>
          <w:id w:val="1666048407"/>
          <w:text w:multiLine="1"/>
        </w:sdtPr>
        <w:sdtEndPr/>
        <w:sdtContent>
          <w:r>
            <w:rPr>
              <w:rFonts w:ascii="David" w:hAnsi="David"/>
              <w:b/>
              <w:bCs/>
              <w:rtl/>
            </w:rPr>
            <w:t>י"א סיוון תשפ"ג</w:t>
          </w:r>
        </w:sdtContent>
      </w:sdt>
      <w:r w:rsidR="00005C8B" w:rsidRPr="008C0C99">
        <w:rPr>
          <w:rFonts w:ascii="David" w:hAnsi="David"/>
          <w:b/>
          <w:bCs/>
          <w:rtl/>
        </w:rPr>
        <w:t xml:space="preserve">, </w:t>
      </w:r>
      <w:sdt>
        <w:sdtPr>
          <w:rPr>
            <w:rFonts w:ascii="David" w:hAnsi="David"/>
            <w:b/>
            <w:bCs/>
            <w:rtl/>
          </w:rPr>
          <w:alias w:val="1456"/>
          <w:tag w:val="1456"/>
          <w:id w:val="-1186288958"/>
          <w:text w:multiLine="1"/>
        </w:sdtPr>
        <w:sdtEndPr/>
        <w:sdtContent>
          <w:r>
            <w:rPr>
              <w:rFonts w:ascii="David" w:hAnsi="David"/>
              <w:b/>
              <w:bCs/>
              <w:rtl/>
            </w:rPr>
            <w:t>31 מאי 2023</w:t>
          </w:r>
        </w:sdtContent>
      </w:sdt>
      <w:r w:rsidR="00005C8B" w:rsidRPr="008C0C99">
        <w:rPr>
          <w:rFonts w:ascii="David" w:hAnsi="David"/>
          <w:b/>
          <w:bCs/>
          <w:rtl/>
        </w:rPr>
        <w:t xml:space="preserve">, </w:t>
      </w:r>
      <w:r w:rsidR="008C0C99" w:rsidRPr="008C0C99">
        <w:rPr>
          <w:rFonts w:ascii="David" w:hAnsi="David" w:hint="cs"/>
          <w:b/>
          <w:bCs/>
          <w:rtl/>
        </w:rPr>
        <w:t>במעמד</w:t>
      </w:r>
      <w:r w:rsidR="00005C8B" w:rsidRPr="008C0C99">
        <w:rPr>
          <w:rFonts w:ascii="David" w:hAnsi="David"/>
          <w:b/>
          <w:bCs/>
          <w:rtl/>
        </w:rPr>
        <w:t xml:space="preserve"> הצדדים.</w:t>
      </w:r>
    </w:p>
    <w:p w:rsidR="00C43648" w:rsidRPr="003042EC" w:rsidRDefault="00F827CA" w:rsidP="00383A31">
      <w:pPr>
        <w:tabs>
          <w:tab w:val="left" w:pos="2553"/>
        </w:tabs>
        <w:spacing w:line="360" w:lineRule="auto"/>
        <w:ind w:left="5040"/>
        <w:rPr>
          <w:rFonts w:ascii="David" w:hAnsi="David"/>
          <w:rtl/>
        </w:rPr>
      </w:pPr>
      <w:sdt>
        <w:sdtPr>
          <w:rPr>
            <w:rFonts w:ascii="David" w:hAnsi="David"/>
            <w:rtl/>
          </w:rPr>
          <w:alias w:val="2045"/>
          <w:tag w:val="2045"/>
          <w:id w:val="740689340"/>
          <w:placeholder>
            <w:docPart w:val="70EACA479E94447D807C62CB23368C1B"/>
          </w:placeholder>
          <w:showingPlcHdr/>
          <w:text w:multiLine="1"/>
        </w:sdtPr>
        <w:sdtEndPr/>
        <w:sdtContent>
          <w:r w:rsidR="00C43648" w:rsidRPr="003042EC">
            <w:rPr>
              <w:rFonts w:ascii="David" w:hAnsi="David"/>
              <w:rtl/>
            </w:rPr>
            <w:t xml:space="preserve">     </w:t>
          </w:r>
        </w:sdtContent>
      </w:sdt>
    </w:p>
    <w:p w:rsidR="00694556" w:rsidRPr="003042EC" w:rsidRDefault="00BD6531" w:rsidP="00383A31">
      <w:pPr>
        <w:tabs>
          <w:tab w:val="left" w:pos="2553"/>
        </w:tabs>
        <w:spacing w:line="360" w:lineRule="auto"/>
      </w:pPr>
      <w:r w:rsidRPr="003042EC">
        <w:rPr>
          <w:rFonts w:ascii="David" w:hAnsi="David"/>
          <w:rtl/>
        </w:rPr>
        <w:tab/>
      </w:r>
      <w:r w:rsidRPr="003042EC">
        <w:rPr>
          <w:rFonts w:ascii="David" w:hAnsi="David"/>
          <w:rtl/>
        </w:rPr>
        <w:tab/>
      </w:r>
      <w:r w:rsidRPr="003042EC">
        <w:rPr>
          <w:rFonts w:ascii="David" w:hAnsi="David"/>
          <w:rtl/>
        </w:rPr>
        <w:tab/>
      </w:r>
      <w:r w:rsidRPr="003042EC">
        <w:rPr>
          <w:rFonts w:ascii="David" w:hAnsi="David"/>
          <w:rtl/>
        </w:rPr>
        <w:tab/>
        <w:t xml:space="preserve">        </w:t>
      </w:r>
      <w:sdt>
        <w:sdtPr>
          <w:rPr>
            <w:rtl/>
          </w:rPr>
          <w:alias w:val="MergeField"/>
          <w:tag w:val="1237"/>
          <w:id w:val="841902452"/>
        </w:sdtPr>
        <w:sdtEndPr/>
        <w:sdtContent>
          <w:r w:rsidR="00370FAE">
            <w:rPr>
              <w:noProof/>
            </w:rPr>
            <w:drawing>
              <wp:inline distT="0" distB="0" distL="0" distR="0" wp14:editId="50D07946">
                <wp:extent cx="18383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838325" cy="790575"/>
                        </a:xfrm>
                        <a:prstGeom prst="rect">
                          <a:avLst/>
                        </a:prstGeom>
                      </pic:spPr>
                    </pic:pic>
                  </a:graphicData>
                </a:graphic>
              </wp:inline>
            </w:drawing>
          </w:r>
        </w:sdtContent>
      </w:sdt>
    </w:p>
    <w:p w:rsidR="00694556" w:rsidRPr="003042EC" w:rsidRDefault="00694556" w:rsidP="00383A31">
      <w:pPr>
        <w:tabs>
          <w:tab w:val="left" w:pos="2553"/>
        </w:tabs>
        <w:spacing w:line="360" w:lineRule="auto"/>
        <w:rPr>
          <w:rFonts w:ascii="David" w:hAnsi="David"/>
          <w:rtl/>
        </w:rPr>
      </w:pPr>
    </w:p>
    <w:p w:rsidR="003042EC" w:rsidRPr="003042EC" w:rsidRDefault="003042EC" w:rsidP="00383A31">
      <w:pPr>
        <w:tabs>
          <w:tab w:val="left" w:pos="2553"/>
        </w:tabs>
        <w:spacing w:line="360" w:lineRule="auto"/>
        <w:rPr>
          <w:rFonts w:ascii="David" w:hAnsi="David"/>
        </w:rPr>
      </w:pPr>
    </w:p>
    <w:sectPr w:rsidR="003042EC" w:rsidRPr="003042EC"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7CA" w:rsidRDefault="00F827CA">
      <w:r>
        <w:separator/>
      </w:r>
    </w:p>
  </w:endnote>
  <w:endnote w:type="continuationSeparator" w:id="0">
    <w:p w:rsidR="00F827CA" w:rsidRDefault="00F82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030270">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030270">
      <w:rPr>
        <w:rStyle w:val="ae"/>
        <w:noProof/>
        <w:rtl/>
      </w:rPr>
      <w:t>14</w:t>
    </w:r>
    <w:r w:rsidRPr="004E6E3C">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7CA" w:rsidRDefault="00F827CA">
      <w:r>
        <w:separator/>
      </w:r>
    </w:p>
  </w:footnote>
  <w:footnote w:type="continuationSeparator" w:id="0">
    <w:p w:rsidR="00F827CA" w:rsidRDefault="00F82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5"/>
      <w:jc w:val="center"/>
      <w:rPr>
        <w:rFonts w:cs="FrankRuehl"/>
        <w:sz w:val="28"/>
        <w:szCs w:val="28"/>
        <w:rtl/>
      </w:rPr>
    </w:pPr>
    <w:r>
      <w:rPr>
        <w:rFonts w:cs="FrankRuehl"/>
        <w:noProof/>
        <w:sz w:val="28"/>
        <w:szCs w:val="28"/>
      </w:rPr>
      <w:drawing>
        <wp:inline distT="0" distB="0" distL="0" distR="0" wp14:anchorId="68F27C0A" wp14:editId="398D8491">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5"/>
                <w:jc w:val="center"/>
                <w:rPr>
                  <w:rFonts w:ascii="Tahoma" w:hAnsi="Tahoma" w:cs="Tahoma"/>
                  <w:color w:val="000080"/>
                  <w:rtl/>
                </w:rPr>
              </w:pPr>
              <w:r w:rsidRPr="003D1C8C">
                <w:rPr>
                  <w:rFonts w:ascii="Tahoma" w:hAnsi="Tahoma" w:cs="Tahoma"/>
                  <w:b/>
                  <w:bCs/>
                  <w:color w:val="000080"/>
                  <w:rtl/>
                </w:rPr>
                <w:t>בית משפט השלום בקריית גת</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7D45E3" w:rsidRDefault="00F827CA" w:rsidP="007D45E3">
          <w:pPr>
            <w:rPr>
              <w:b/>
              <w:bCs/>
              <w:sz w:val="26"/>
              <w:szCs w:val="26"/>
              <w:rtl/>
            </w:rPr>
          </w:pPr>
          <w:sdt>
            <w:sdtPr>
              <w:rPr>
                <w:rtl/>
              </w:rPr>
              <w:alias w:val="1170"/>
              <w:tag w:val="1170"/>
              <w:id w:val="1066377040"/>
              <w:text w:multiLine="1"/>
            </w:sdtPr>
            <w:sdtEndPr/>
            <w:sdtContent>
              <w:r w:rsidR="00B72A4B">
                <w:rPr>
                  <w:b/>
                  <w:bCs/>
                  <w:sz w:val="26"/>
                  <w:szCs w:val="26"/>
                  <w:rtl/>
                </w:rPr>
                <w:t>ת"פ</w:t>
              </w:r>
            </w:sdtContent>
          </w:sdt>
          <w:r w:rsidR="00005C8B">
            <w:rPr>
              <w:b/>
              <w:bCs/>
              <w:sz w:val="26"/>
              <w:szCs w:val="26"/>
              <w:rtl/>
            </w:rPr>
            <w:t xml:space="preserve"> </w:t>
          </w:r>
          <w:sdt>
            <w:sdtPr>
              <w:rPr>
                <w:rtl/>
              </w:rPr>
              <w:alias w:val="1171"/>
              <w:tag w:val="1171"/>
              <w:id w:val="257034231"/>
              <w:text w:multiLine="1"/>
            </w:sdtPr>
            <w:sdtEndPr/>
            <w:sdtContent>
              <w:r w:rsidR="00B72A4B">
                <w:rPr>
                  <w:b/>
                  <w:bCs/>
                  <w:sz w:val="26"/>
                  <w:szCs w:val="26"/>
                  <w:rtl/>
                </w:rPr>
                <w:t>28127-05-21</w:t>
              </w:r>
            </w:sdtContent>
          </w:sdt>
          <w:r w:rsidR="00005C8B">
            <w:rPr>
              <w:b/>
              <w:bCs/>
              <w:sz w:val="26"/>
              <w:szCs w:val="26"/>
              <w:rtl/>
            </w:rPr>
            <w:t xml:space="preserve"> </w:t>
          </w:r>
          <w:sdt>
            <w:sdtPr>
              <w:rPr>
                <w:rtl/>
              </w:rPr>
              <w:alias w:val="1172"/>
              <w:tag w:val="1172"/>
              <w:id w:val="-595170033"/>
              <w:text w:multiLine="1"/>
            </w:sdtPr>
            <w:sdtEndPr/>
            <w:sdtContent>
              <w:r w:rsidR="00B72A4B">
                <w:rPr>
                  <w:b/>
                  <w:bCs/>
                  <w:sz w:val="26"/>
                  <w:szCs w:val="26"/>
                  <w:rtl/>
                </w:rPr>
                <w:t>מדינת ישראל נ' חסן</w:t>
              </w:r>
            </w:sdtContent>
          </w:sdt>
        </w:p>
        <w:p w:rsidR="007D45E3" w:rsidRPr="007B7765" w:rsidRDefault="007D45E3" w:rsidP="007D45E3">
          <w:pPr>
            <w:rPr>
              <w:b/>
              <w:bCs/>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sdt>
                <w:sdtPr>
                  <w:rPr>
                    <w:sz w:val="20"/>
                    <w:szCs w:val="20"/>
                    <w:rtl/>
                  </w:rPr>
                  <w:alias w:val="1198"/>
                  <w:tag w:val="1198"/>
                  <w:id w:val="-51619777"/>
                  <w:text w:multiLine="1"/>
                </w:sdtPr>
                <w:sdtEndPr/>
                <w:sdtContent>
                  <w:r>
                    <w:rPr>
                      <w:sz w:val="20"/>
                      <w:szCs w:val="20"/>
                    </w:rPr>
                    <w:t>439431/2017</w:t>
                  </w:r>
                </w:sdtContent>
              </w:sdt>
              <w:r w:rsidR="007D45E3" w:rsidRPr="00E1068A">
                <w:rPr>
                  <w:rFonts w:hint="cs"/>
                  <w:sz w:val="20"/>
                  <w:szCs w:val="20"/>
                  <w:rtl/>
                </w:rPr>
                <w:t xml:space="preserve"> </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5"/>
      <w:rPr>
        <w:rtl/>
      </w:rPr>
    </w:pPr>
    <w:r>
      <w:rPr>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51EB48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D6EFB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D0C9A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998318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50EA0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C0A98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C2B53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6457A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1C426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2429C02"/>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3846CB3"/>
    <w:multiLevelType w:val="hybridMultilevel"/>
    <w:tmpl w:val="29DAEA1E"/>
    <w:lvl w:ilvl="0" w:tplc="1C5C5AA6">
      <w:start w:val="1"/>
      <w:numFmt w:val="decimal"/>
      <w:lvlText w:val="(%1)"/>
      <w:lvlJc w:val="left"/>
      <w:pPr>
        <w:ind w:left="1243" w:hanging="450"/>
      </w:pPr>
    </w:lvl>
    <w:lvl w:ilvl="1" w:tplc="04090019">
      <w:start w:val="1"/>
      <w:numFmt w:val="lowerLetter"/>
      <w:lvlText w:val="%2."/>
      <w:lvlJc w:val="left"/>
      <w:pPr>
        <w:ind w:left="1873" w:hanging="360"/>
      </w:pPr>
    </w:lvl>
    <w:lvl w:ilvl="2" w:tplc="0409001B">
      <w:start w:val="1"/>
      <w:numFmt w:val="lowerRoman"/>
      <w:lvlText w:val="%3."/>
      <w:lvlJc w:val="right"/>
      <w:pPr>
        <w:ind w:left="2593" w:hanging="180"/>
      </w:pPr>
    </w:lvl>
    <w:lvl w:ilvl="3" w:tplc="0409000F">
      <w:start w:val="1"/>
      <w:numFmt w:val="decimal"/>
      <w:lvlText w:val="%4."/>
      <w:lvlJc w:val="left"/>
      <w:pPr>
        <w:ind w:left="3313" w:hanging="360"/>
      </w:pPr>
    </w:lvl>
    <w:lvl w:ilvl="4" w:tplc="04090019">
      <w:start w:val="1"/>
      <w:numFmt w:val="lowerLetter"/>
      <w:lvlText w:val="%5."/>
      <w:lvlJc w:val="left"/>
      <w:pPr>
        <w:ind w:left="4033" w:hanging="360"/>
      </w:pPr>
    </w:lvl>
    <w:lvl w:ilvl="5" w:tplc="0409001B">
      <w:start w:val="1"/>
      <w:numFmt w:val="lowerRoman"/>
      <w:lvlText w:val="%6."/>
      <w:lvlJc w:val="right"/>
      <w:pPr>
        <w:ind w:left="4753" w:hanging="180"/>
      </w:pPr>
    </w:lvl>
    <w:lvl w:ilvl="6" w:tplc="0409000F">
      <w:start w:val="1"/>
      <w:numFmt w:val="decimal"/>
      <w:lvlText w:val="%7."/>
      <w:lvlJc w:val="left"/>
      <w:pPr>
        <w:ind w:left="5473" w:hanging="360"/>
      </w:pPr>
    </w:lvl>
    <w:lvl w:ilvl="7" w:tplc="04090019">
      <w:start w:val="1"/>
      <w:numFmt w:val="lowerLetter"/>
      <w:lvlText w:val="%8."/>
      <w:lvlJc w:val="left"/>
      <w:pPr>
        <w:ind w:left="6193" w:hanging="360"/>
      </w:pPr>
    </w:lvl>
    <w:lvl w:ilvl="8" w:tplc="0409001B">
      <w:start w:val="1"/>
      <w:numFmt w:val="lowerRoman"/>
      <w:lvlText w:val="%9."/>
      <w:lvlJc w:val="right"/>
      <w:pPr>
        <w:ind w:left="6913" w:hanging="180"/>
      </w:pPr>
    </w:lvl>
  </w:abstractNum>
  <w:abstractNum w:abstractNumId="11" w15:restartNumberingAfterBreak="0">
    <w:nsid w:val="3AF460D7"/>
    <w:multiLevelType w:val="hybridMultilevel"/>
    <w:tmpl w:val="C49899AC"/>
    <w:lvl w:ilvl="0" w:tplc="9BF0EAD6">
      <w:start w:val="1"/>
      <w:numFmt w:val="decimal"/>
      <w:lvlText w:val="%1."/>
      <w:lvlJc w:val="left"/>
      <w:pPr>
        <w:ind w:left="4329" w:hanging="360"/>
      </w:pPr>
      <w:rPr>
        <w:rFonts w:ascii="David" w:hAnsi="David" w:cs="David" w:hint="default"/>
        <w:b w:val="0"/>
        <w:bCs w:val="0"/>
        <w:color w:val="auto"/>
      </w:rPr>
    </w:lvl>
    <w:lvl w:ilvl="1" w:tplc="D9D698F8">
      <w:start w:val="1"/>
      <w:numFmt w:val="hebrew1"/>
      <w:lvlText w:val="%2."/>
      <w:lvlJc w:val="center"/>
      <w:pPr>
        <w:ind w:left="1440" w:hanging="360"/>
      </w:pPr>
      <w:rPr>
        <w:b/>
        <w:bC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7747676"/>
    <w:multiLevelType w:val="hybridMultilevel"/>
    <w:tmpl w:val="1696CE12"/>
    <w:lvl w:ilvl="0" w:tplc="185A78F4">
      <w:start w:val="1"/>
      <w:numFmt w:val="hebrew1"/>
      <w:lvlText w:val="%1."/>
      <w:lvlJc w:val="left"/>
      <w:pPr>
        <w:ind w:left="1080" w:hanging="360"/>
      </w:pPr>
      <w:rPr>
        <w:b w:val="0"/>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30270"/>
    <w:rsid w:val="0004074E"/>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367BC"/>
    <w:rsid w:val="00144D2A"/>
    <w:rsid w:val="0014653E"/>
    <w:rsid w:val="00180519"/>
    <w:rsid w:val="00191C82"/>
    <w:rsid w:val="00194E80"/>
    <w:rsid w:val="001C4003"/>
    <w:rsid w:val="001D4DBF"/>
    <w:rsid w:val="001E75CA"/>
    <w:rsid w:val="001F0869"/>
    <w:rsid w:val="002265FF"/>
    <w:rsid w:val="00271B56"/>
    <w:rsid w:val="00273B91"/>
    <w:rsid w:val="002C344E"/>
    <w:rsid w:val="002E75E9"/>
    <w:rsid w:val="002F01E5"/>
    <w:rsid w:val="003042EC"/>
    <w:rsid w:val="00307A6A"/>
    <w:rsid w:val="00307C40"/>
    <w:rsid w:val="00320433"/>
    <w:rsid w:val="003230C7"/>
    <w:rsid w:val="00327E50"/>
    <w:rsid w:val="0033597A"/>
    <w:rsid w:val="00354C54"/>
    <w:rsid w:val="00362612"/>
    <w:rsid w:val="0036743F"/>
    <w:rsid w:val="00370FAE"/>
    <w:rsid w:val="003715DD"/>
    <w:rsid w:val="003823E0"/>
    <w:rsid w:val="00383A31"/>
    <w:rsid w:val="003A4521"/>
    <w:rsid w:val="003D1C8C"/>
    <w:rsid w:val="0040096C"/>
    <w:rsid w:val="00414F1F"/>
    <w:rsid w:val="0043125D"/>
    <w:rsid w:val="0043502B"/>
    <w:rsid w:val="004443AC"/>
    <w:rsid w:val="00451E28"/>
    <w:rsid w:val="00462C62"/>
    <w:rsid w:val="00465D36"/>
    <w:rsid w:val="004A533A"/>
    <w:rsid w:val="004C4BDF"/>
    <w:rsid w:val="004D1187"/>
    <w:rsid w:val="004E1987"/>
    <w:rsid w:val="004E2E15"/>
    <w:rsid w:val="004E5A4C"/>
    <w:rsid w:val="004E6E3C"/>
    <w:rsid w:val="00520898"/>
    <w:rsid w:val="00523621"/>
    <w:rsid w:val="00524986"/>
    <w:rsid w:val="005268F6"/>
    <w:rsid w:val="00547DB7"/>
    <w:rsid w:val="005F4F09"/>
    <w:rsid w:val="0061431B"/>
    <w:rsid w:val="00622BAA"/>
    <w:rsid w:val="006306CF"/>
    <w:rsid w:val="00644E9A"/>
    <w:rsid w:val="00652C3E"/>
    <w:rsid w:val="00671BD5"/>
    <w:rsid w:val="006805C1"/>
    <w:rsid w:val="00686C21"/>
    <w:rsid w:val="006931C1"/>
    <w:rsid w:val="00694556"/>
    <w:rsid w:val="006C30C5"/>
    <w:rsid w:val="006D3B31"/>
    <w:rsid w:val="006E0D96"/>
    <w:rsid w:val="006E1A53"/>
    <w:rsid w:val="006E29E9"/>
    <w:rsid w:val="00704EDA"/>
    <w:rsid w:val="00721122"/>
    <w:rsid w:val="00753019"/>
    <w:rsid w:val="00754801"/>
    <w:rsid w:val="00795365"/>
    <w:rsid w:val="007A351D"/>
    <w:rsid w:val="007B7765"/>
    <w:rsid w:val="007D45E3"/>
    <w:rsid w:val="007E6115"/>
    <w:rsid w:val="007F4609"/>
    <w:rsid w:val="008176A1"/>
    <w:rsid w:val="00820005"/>
    <w:rsid w:val="00844318"/>
    <w:rsid w:val="00870890"/>
    <w:rsid w:val="00873602"/>
    <w:rsid w:val="00875D12"/>
    <w:rsid w:val="0088479D"/>
    <w:rsid w:val="00896889"/>
    <w:rsid w:val="008C0C99"/>
    <w:rsid w:val="008C5714"/>
    <w:rsid w:val="008D10B2"/>
    <w:rsid w:val="00903896"/>
    <w:rsid w:val="00906F3D"/>
    <w:rsid w:val="0093582A"/>
    <w:rsid w:val="0094424E"/>
    <w:rsid w:val="009622DF"/>
    <w:rsid w:val="00967DFF"/>
    <w:rsid w:val="00994341"/>
    <w:rsid w:val="00997945"/>
    <w:rsid w:val="009C1667"/>
    <w:rsid w:val="009D1A48"/>
    <w:rsid w:val="009E1CE7"/>
    <w:rsid w:val="009F164B"/>
    <w:rsid w:val="009F323C"/>
    <w:rsid w:val="00A11A4B"/>
    <w:rsid w:val="00A3392B"/>
    <w:rsid w:val="00A94B64"/>
    <w:rsid w:val="00AA3229"/>
    <w:rsid w:val="00AA7596"/>
    <w:rsid w:val="00AB5E52"/>
    <w:rsid w:val="00AC3B02"/>
    <w:rsid w:val="00AC3B7B"/>
    <w:rsid w:val="00AC5209"/>
    <w:rsid w:val="00AE7752"/>
    <w:rsid w:val="00AF4050"/>
    <w:rsid w:val="00AF7FDA"/>
    <w:rsid w:val="00B72A4B"/>
    <w:rsid w:val="00B809AD"/>
    <w:rsid w:val="00B80CBD"/>
    <w:rsid w:val="00B86096"/>
    <w:rsid w:val="00BA0A7C"/>
    <w:rsid w:val="00BA517C"/>
    <w:rsid w:val="00BB3D05"/>
    <w:rsid w:val="00BB73BE"/>
    <w:rsid w:val="00BC2D89"/>
    <w:rsid w:val="00BD6531"/>
    <w:rsid w:val="00BE05B2"/>
    <w:rsid w:val="00BF1908"/>
    <w:rsid w:val="00C141D7"/>
    <w:rsid w:val="00C141ED"/>
    <w:rsid w:val="00C22D93"/>
    <w:rsid w:val="00C26A43"/>
    <w:rsid w:val="00C31120"/>
    <w:rsid w:val="00C34482"/>
    <w:rsid w:val="00C43648"/>
    <w:rsid w:val="00C50A9F"/>
    <w:rsid w:val="00C642FA"/>
    <w:rsid w:val="00CC7622"/>
    <w:rsid w:val="00CE310D"/>
    <w:rsid w:val="00D27982"/>
    <w:rsid w:val="00D33B86"/>
    <w:rsid w:val="00D3471A"/>
    <w:rsid w:val="00D463F4"/>
    <w:rsid w:val="00D53924"/>
    <w:rsid w:val="00D55D0C"/>
    <w:rsid w:val="00D96D8C"/>
    <w:rsid w:val="00DA6649"/>
    <w:rsid w:val="00DB1BEF"/>
    <w:rsid w:val="00DC1259"/>
    <w:rsid w:val="00DC1BD2"/>
    <w:rsid w:val="00DC2571"/>
    <w:rsid w:val="00DC487C"/>
    <w:rsid w:val="00DE6BF6"/>
    <w:rsid w:val="00E1068A"/>
    <w:rsid w:val="00E25884"/>
    <w:rsid w:val="00E268C2"/>
    <w:rsid w:val="00E31C2B"/>
    <w:rsid w:val="00E5426A"/>
    <w:rsid w:val="00E54642"/>
    <w:rsid w:val="00E640F8"/>
    <w:rsid w:val="00E962E3"/>
    <w:rsid w:val="00EB5B49"/>
    <w:rsid w:val="00EB6C79"/>
    <w:rsid w:val="00EC37E9"/>
    <w:rsid w:val="00F06995"/>
    <w:rsid w:val="00F13623"/>
    <w:rsid w:val="00F200F3"/>
    <w:rsid w:val="00F827CA"/>
    <w:rsid w:val="00F84B6D"/>
    <w:rsid w:val="00FA2B68"/>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3156151-8225-4AF3-A80A-0D18B1581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383A3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383A3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383A31"/>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383A31"/>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383A31"/>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383A31"/>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383A3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383A3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3230C7"/>
    <w:rPr>
      <w:noProof w:val="0"/>
      <w:color w:val="808080"/>
    </w:rPr>
  </w:style>
  <w:style w:type="character" w:customStyle="1" w:styleId="TimesNewRomanTimesNewRoman">
    <w:name w:val="סגנון (לטיני) Times New Roman (עברית ושפות אחרות) Times New Roman..."/>
    <w:basedOn w:val="a2"/>
    <w:rsid w:val="00E268C2"/>
    <w:rPr>
      <w:rFonts w:ascii="Times New Roman" w:hAnsi="Times New Roman" w:cs="David" w:hint="default"/>
      <w:b/>
      <w:bCs/>
      <w:noProof w:val="0"/>
      <w:sz w:val="26"/>
      <w:szCs w:val="26"/>
    </w:rPr>
  </w:style>
  <w:style w:type="character" w:customStyle="1" w:styleId="af0">
    <w:name w:val="פיסקת רשימה תו"/>
    <w:link w:val="af1"/>
    <w:uiPriority w:val="34"/>
    <w:locked/>
    <w:rsid w:val="003042EC"/>
    <w:rPr>
      <w:rFonts w:cs="David"/>
      <w:sz w:val="24"/>
      <w:szCs w:val="24"/>
    </w:rPr>
  </w:style>
  <w:style w:type="paragraph" w:styleId="af1">
    <w:name w:val="List Paragraph"/>
    <w:basedOn w:val="a1"/>
    <w:link w:val="af0"/>
    <w:uiPriority w:val="34"/>
    <w:qFormat/>
    <w:rsid w:val="003042EC"/>
    <w:pPr>
      <w:ind w:left="720"/>
      <w:contextualSpacing/>
    </w:pPr>
  </w:style>
  <w:style w:type="character" w:customStyle="1" w:styleId="normal-h1">
    <w:name w:val="normal-h1"/>
    <w:basedOn w:val="a2"/>
    <w:rsid w:val="003042EC"/>
    <w:rPr>
      <w:rFonts w:ascii="Times New Roman" w:hAnsi="Times New Roman" w:cs="Times New Roman" w:hint="default"/>
      <w:noProof w:val="0"/>
      <w:sz w:val="20"/>
      <w:szCs w:val="20"/>
    </w:rPr>
  </w:style>
  <w:style w:type="character" w:styleId="FollowedHyperlink">
    <w:name w:val="FollowedHyperlink"/>
    <w:basedOn w:val="a2"/>
    <w:semiHidden/>
    <w:unhideWhenUsed/>
    <w:rsid w:val="00383A31"/>
    <w:rPr>
      <w:noProof w:val="0"/>
      <w:color w:val="800080" w:themeColor="followedHyperlink"/>
      <w:u w:val="single"/>
    </w:rPr>
  </w:style>
  <w:style w:type="character" w:styleId="HTMLCite">
    <w:name w:val="HTML Cite"/>
    <w:basedOn w:val="a2"/>
    <w:semiHidden/>
    <w:unhideWhenUsed/>
    <w:rsid w:val="00383A31"/>
    <w:rPr>
      <w:i/>
      <w:iCs/>
      <w:noProof w:val="0"/>
    </w:rPr>
  </w:style>
  <w:style w:type="character" w:styleId="HTMLCode">
    <w:name w:val="HTML Code"/>
    <w:basedOn w:val="a2"/>
    <w:semiHidden/>
    <w:unhideWhenUsed/>
    <w:rsid w:val="00383A31"/>
    <w:rPr>
      <w:rFonts w:ascii="Consolas" w:hAnsi="Consolas"/>
      <w:noProof w:val="0"/>
      <w:sz w:val="20"/>
      <w:szCs w:val="20"/>
    </w:rPr>
  </w:style>
  <w:style w:type="character" w:styleId="HTMLDefinition">
    <w:name w:val="HTML Definition"/>
    <w:basedOn w:val="a2"/>
    <w:semiHidden/>
    <w:unhideWhenUsed/>
    <w:rsid w:val="00383A31"/>
    <w:rPr>
      <w:i/>
      <w:iCs/>
      <w:noProof w:val="0"/>
    </w:rPr>
  </w:style>
  <w:style w:type="character" w:styleId="HTMLVariable">
    <w:name w:val="HTML Variable"/>
    <w:basedOn w:val="a2"/>
    <w:semiHidden/>
    <w:unhideWhenUsed/>
    <w:rsid w:val="00383A31"/>
    <w:rPr>
      <w:i/>
      <w:iCs/>
      <w:noProof w:val="0"/>
    </w:rPr>
  </w:style>
  <w:style w:type="paragraph" w:styleId="HTML">
    <w:name w:val="HTML Preformatted"/>
    <w:basedOn w:val="a1"/>
    <w:link w:val="HTML0"/>
    <w:semiHidden/>
    <w:unhideWhenUsed/>
    <w:rsid w:val="00383A31"/>
    <w:rPr>
      <w:rFonts w:ascii="Consolas" w:hAnsi="Consolas"/>
      <w:sz w:val="20"/>
      <w:szCs w:val="20"/>
    </w:rPr>
  </w:style>
  <w:style w:type="character" w:customStyle="1" w:styleId="HTML0">
    <w:name w:val="HTML מעוצב מראש תו"/>
    <w:basedOn w:val="a2"/>
    <w:link w:val="HTML"/>
    <w:semiHidden/>
    <w:rsid w:val="00383A31"/>
    <w:rPr>
      <w:rFonts w:ascii="Consolas" w:hAnsi="Consolas" w:cs="David"/>
      <w:noProof w:val="0"/>
    </w:rPr>
  </w:style>
  <w:style w:type="character" w:styleId="Hyperlink">
    <w:name w:val="Hyperlink"/>
    <w:basedOn w:val="a2"/>
    <w:semiHidden/>
    <w:unhideWhenUsed/>
    <w:rsid w:val="00383A31"/>
    <w:rPr>
      <w:noProof w:val="0"/>
      <w:color w:val="0000FF" w:themeColor="hyperlink"/>
      <w:u w:val="single"/>
    </w:rPr>
  </w:style>
  <w:style w:type="paragraph" w:styleId="Index1">
    <w:name w:val="index 1"/>
    <w:basedOn w:val="a1"/>
    <w:next w:val="a1"/>
    <w:autoRedefine/>
    <w:semiHidden/>
    <w:unhideWhenUsed/>
    <w:rsid w:val="00383A31"/>
    <w:pPr>
      <w:ind w:left="240" w:hanging="240"/>
    </w:pPr>
  </w:style>
  <w:style w:type="paragraph" w:styleId="Index2">
    <w:name w:val="index 2"/>
    <w:basedOn w:val="a1"/>
    <w:next w:val="a1"/>
    <w:autoRedefine/>
    <w:semiHidden/>
    <w:unhideWhenUsed/>
    <w:rsid w:val="00383A31"/>
    <w:pPr>
      <w:ind w:left="480" w:hanging="240"/>
    </w:pPr>
  </w:style>
  <w:style w:type="paragraph" w:styleId="Index3">
    <w:name w:val="index 3"/>
    <w:basedOn w:val="a1"/>
    <w:next w:val="a1"/>
    <w:autoRedefine/>
    <w:semiHidden/>
    <w:unhideWhenUsed/>
    <w:rsid w:val="00383A31"/>
    <w:pPr>
      <w:ind w:left="720" w:hanging="240"/>
    </w:pPr>
  </w:style>
  <w:style w:type="paragraph" w:styleId="Index4">
    <w:name w:val="index 4"/>
    <w:basedOn w:val="a1"/>
    <w:next w:val="a1"/>
    <w:autoRedefine/>
    <w:semiHidden/>
    <w:unhideWhenUsed/>
    <w:rsid w:val="00383A31"/>
    <w:pPr>
      <w:ind w:left="960" w:hanging="240"/>
    </w:pPr>
  </w:style>
  <w:style w:type="paragraph" w:styleId="Index5">
    <w:name w:val="index 5"/>
    <w:basedOn w:val="a1"/>
    <w:next w:val="a1"/>
    <w:autoRedefine/>
    <w:semiHidden/>
    <w:unhideWhenUsed/>
    <w:rsid w:val="00383A31"/>
    <w:pPr>
      <w:ind w:left="1200" w:hanging="240"/>
    </w:pPr>
  </w:style>
  <w:style w:type="paragraph" w:styleId="Index6">
    <w:name w:val="index 6"/>
    <w:basedOn w:val="a1"/>
    <w:next w:val="a1"/>
    <w:autoRedefine/>
    <w:semiHidden/>
    <w:unhideWhenUsed/>
    <w:rsid w:val="00383A31"/>
    <w:pPr>
      <w:ind w:left="1440" w:hanging="240"/>
    </w:pPr>
  </w:style>
  <w:style w:type="paragraph" w:styleId="Index7">
    <w:name w:val="index 7"/>
    <w:basedOn w:val="a1"/>
    <w:next w:val="a1"/>
    <w:autoRedefine/>
    <w:semiHidden/>
    <w:unhideWhenUsed/>
    <w:rsid w:val="00383A31"/>
    <w:pPr>
      <w:ind w:left="1680" w:hanging="240"/>
    </w:pPr>
  </w:style>
  <w:style w:type="paragraph" w:styleId="Index8">
    <w:name w:val="index 8"/>
    <w:basedOn w:val="a1"/>
    <w:next w:val="a1"/>
    <w:autoRedefine/>
    <w:semiHidden/>
    <w:unhideWhenUsed/>
    <w:rsid w:val="00383A31"/>
    <w:pPr>
      <w:ind w:left="1920" w:hanging="240"/>
    </w:pPr>
  </w:style>
  <w:style w:type="paragraph" w:styleId="Index9">
    <w:name w:val="index 9"/>
    <w:basedOn w:val="a1"/>
    <w:next w:val="a1"/>
    <w:autoRedefine/>
    <w:semiHidden/>
    <w:unhideWhenUsed/>
    <w:rsid w:val="00383A31"/>
    <w:pPr>
      <w:ind w:left="2160" w:hanging="240"/>
    </w:pPr>
  </w:style>
  <w:style w:type="paragraph" w:styleId="NormalWeb">
    <w:name w:val="Normal (Web)"/>
    <w:basedOn w:val="a1"/>
    <w:semiHidden/>
    <w:unhideWhenUsed/>
    <w:rsid w:val="00383A31"/>
    <w:rPr>
      <w:rFonts w:cs="Times New Roman"/>
    </w:rPr>
  </w:style>
  <w:style w:type="paragraph" w:styleId="TOC1">
    <w:name w:val="toc 1"/>
    <w:basedOn w:val="a1"/>
    <w:next w:val="a1"/>
    <w:autoRedefine/>
    <w:semiHidden/>
    <w:unhideWhenUsed/>
    <w:rsid w:val="00383A31"/>
    <w:pPr>
      <w:spacing w:after="100"/>
    </w:pPr>
  </w:style>
  <w:style w:type="paragraph" w:styleId="TOC2">
    <w:name w:val="toc 2"/>
    <w:basedOn w:val="a1"/>
    <w:next w:val="a1"/>
    <w:autoRedefine/>
    <w:semiHidden/>
    <w:unhideWhenUsed/>
    <w:rsid w:val="00383A31"/>
    <w:pPr>
      <w:spacing w:after="100"/>
      <w:ind w:left="240"/>
    </w:pPr>
  </w:style>
  <w:style w:type="paragraph" w:styleId="TOC3">
    <w:name w:val="toc 3"/>
    <w:basedOn w:val="a1"/>
    <w:next w:val="a1"/>
    <w:autoRedefine/>
    <w:semiHidden/>
    <w:unhideWhenUsed/>
    <w:rsid w:val="00383A31"/>
    <w:pPr>
      <w:spacing w:after="100"/>
      <w:ind w:left="480"/>
    </w:pPr>
  </w:style>
  <w:style w:type="paragraph" w:styleId="TOC4">
    <w:name w:val="toc 4"/>
    <w:basedOn w:val="a1"/>
    <w:next w:val="a1"/>
    <w:autoRedefine/>
    <w:semiHidden/>
    <w:unhideWhenUsed/>
    <w:rsid w:val="00383A31"/>
    <w:pPr>
      <w:spacing w:after="100"/>
      <w:ind w:left="720"/>
    </w:pPr>
  </w:style>
  <w:style w:type="paragraph" w:styleId="TOC5">
    <w:name w:val="toc 5"/>
    <w:basedOn w:val="a1"/>
    <w:next w:val="a1"/>
    <w:autoRedefine/>
    <w:semiHidden/>
    <w:unhideWhenUsed/>
    <w:rsid w:val="00383A31"/>
    <w:pPr>
      <w:spacing w:after="100"/>
      <w:ind w:left="960"/>
    </w:pPr>
  </w:style>
  <w:style w:type="paragraph" w:styleId="TOC6">
    <w:name w:val="toc 6"/>
    <w:basedOn w:val="a1"/>
    <w:next w:val="a1"/>
    <w:autoRedefine/>
    <w:semiHidden/>
    <w:unhideWhenUsed/>
    <w:rsid w:val="00383A31"/>
    <w:pPr>
      <w:spacing w:after="100"/>
      <w:ind w:left="1200"/>
    </w:pPr>
  </w:style>
  <w:style w:type="paragraph" w:styleId="TOC7">
    <w:name w:val="toc 7"/>
    <w:basedOn w:val="a1"/>
    <w:next w:val="a1"/>
    <w:autoRedefine/>
    <w:semiHidden/>
    <w:unhideWhenUsed/>
    <w:rsid w:val="00383A31"/>
    <w:pPr>
      <w:spacing w:after="100"/>
      <w:ind w:left="1440"/>
    </w:pPr>
  </w:style>
  <w:style w:type="paragraph" w:styleId="TOC8">
    <w:name w:val="toc 8"/>
    <w:basedOn w:val="a1"/>
    <w:next w:val="a1"/>
    <w:autoRedefine/>
    <w:semiHidden/>
    <w:unhideWhenUsed/>
    <w:rsid w:val="00383A31"/>
    <w:pPr>
      <w:spacing w:after="100"/>
      <w:ind w:left="1680"/>
    </w:pPr>
  </w:style>
  <w:style w:type="paragraph" w:styleId="TOC9">
    <w:name w:val="toc 9"/>
    <w:basedOn w:val="a1"/>
    <w:next w:val="a1"/>
    <w:autoRedefine/>
    <w:semiHidden/>
    <w:unhideWhenUsed/>
    <w:rsid w:val="00383A31"/>
    <w:pPr>
      <w:spacing w:after="100"/>
      <w:ind w:left="1920"/>
    </w:pPr>
  </w:style>
  <w:style w:type="table" w:styleId="-1">
    <w:name w:val="Table 3D effects 1"/>
    <w:basedOn w:val="a3"/>
    <w:semiHidden/>
    <w:unhideWhenUsed/>
    <w:rsid w:val="00383A31"/>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383A31"/>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383A31"/>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Bibliography"/>
    <w:basedOn w:val="a1"/>
    <w:next w:val="a1"/>
    <w:uiPriority w:val="37"/>
    <w:semiHidden/>
    <w:unhideWhenUsed/>
    <w:rsid w:val="00383A31"/>
  </w:style>
  <w:style w:type="paragraph" w:styleId="af3">
    <w:name w:val="Salutation"/>
    <w:basedOn w:val="a1"/>
    <w:next w:val="a1"/>
    <w:link w:val="af4"/>
    <w:rsid w:val="00383A31"/>
  </w:style>
  <w:style w:type="character" w:customStyle="1" w:styleId="af4">
    <w:name w:val="ברכה תו"/>
    <w:basedOn w:val="a2"/>
    <w:link w:val="af3"/>
    <w:rsid w:val="00383A31"/>
    <w:rPr>
      <w:rFonts w:cs="David"/>
      <w:noProof w:val="0"/>
      <w:sz w:val="24"/>
      <w:szCs w:val="24"/>
    </w:rPr>
  </w:style>
  <w:style w:type="paragraph" w:styleId="af5">
    <w:name w:val="Body Text"/>
    <w:basedOn w:val="a1"/>
    <w:link w:val="af6"/>
    <w:semiHidden/>
    <w:unhideWhenUsed/>
    <w:rsid w:val="00383A31"/>
    <w:pPr>
      <w:spacing w:after="120"/>
    </w:pPr>
  </w:style>
  <w:style w:type="character" w:customStyle="1" w:styleId="af6">
    <w:name w:val="גוף טקסט תו"/>
    <w:basedOn w:val="a2"/>
    <w:link w:val="af5"/>
    <w:semiHidden/>
    <w:rsid w:val="00383A31"/>
    <w:rPr>
      <w:rFonts w:cs="David"/>
      <w:noProof w:val="0"/>
      <w:sz w:val="24"/>
      <w:szCs w:val="24"/>
    </w:rPr>
  </w:style>
  <w:style w:type="paragraph" w:styleId="23">
    <w:name w:val="Body Text 2"/>
    <w:basedOn w:val="a1"/>
    <w:link w:val="24"/>
    <w:semiHidden/>
    <w:unhideWhenUsed/>
    <w:rsid w:val="00383A31"/>
    <w:pPr>
      <w:spacing w:after="120" w:line="480" w:lineRule="auto"/>
    </w:pPr>
  </w:style>
  <w:style w:type="character" w:customStyle="1" w:styleId="24">
    <w:name w:val="גוף טקסט 2 תו"/>
    <w:basedOn w:val="a2"/>
    <w:link w:val="23"/>
    <w:semiHidden/>
    <w:rsid w:val="00383A31"/>
    <w:rPr>
      <w:rFonts w:cs="David"/>
      <w:noProof w:val="0"/>
      <w:sz w:val="24"/>
      <w:szCs w:val="24"/>
    </w:rPr>
  </w:style>
  <w:style w:type="paragraph" w:styleId="33">
    <w:name w:val="Body Text 3"/>
    <w:basedOn w:val="a1"/>
    <w:link w:val="34"/>
    <w:semiHidden/>
    <w:unhideWhenUsed/>
    <w:rsid w:val="00383A31"/>
    <w:pPr>
      <w:spacing w:after="120"/>
    </w:pPr>
    <w:rPr>
      <w:sz w:val="16"/>
      <w:szCs w:val="16"/>
    </w:rPr>
  </w:style>
  <w:style w:type="character" w:customStyle="1" w:styleId="34">
    <w:name w:val="גוף טקסט 3 תו"/>
    <w:basedOn w:val="a2"/>
    <w:link w:val="33"/>
    <w:semiHidden/>
    <w:rsid w:val="00383A31"/>
    <w:rPr>
      <w:rFonts w:cs="David"/>
      <w:noProof w:val="0"/>
      <w:sz w:val="16"/>
      <w:szCs w:val="16"/>
    </w:rPr>
  </w:style>
  <w:style w:type="character" w:styleId="HTML1">
    <w:name w:val="HTML Sample"/>
    <w:basedOn w:val="a2"/>
    <w:semiHidden/>
    <w:unhideWhenUsed/>
    <w:rsid w:val="00383A31"/>
    <w:rPr>
      <w:rFonts w:ascii="Consolas" w:hAnsi="Consolas"/>
      <w:noProof w:val="0"/>
      <w:sz w:val="24"/>
      <w:szCs w:val="24"/>
    </w:rPr>
  </w:style>
  <w:style w:type="character" w:styleId="af7">
    <w:name w:val="Emphasis"/>
    <w:basedOn w:val="a2"/>
    <w:qFormat/>
    <w:rsid w:val="00383A31"/>
    <w:rPr>
      <w:i/>
      <w:iCs/>
      <w:noProof w:val="0"/>
    </w:rPr>
  </w:style>
  <w:style w:type="character" w:styleId="af8">
    <w:name w:val="Intense Emphasis"/>
    <w:basedOn w:val="a2"/>
    <w:uiPriority w:val="21"/>
    <w:qFormat/>
    <w:rsid w:val="00383A31"/>
    <w:rPr>
      <w:i/>
      <w:iCs/>
      <w:noProof w:val="0"/>
      <w:color w:val="4F81BD" w:themeColor="accent1"/>
    </w:rPr>
  </w:style>
  <w:style w:type="character" w:styleId="af9">
    <w:name w:val="Subtle Emphasis"/>
    <w:basedOn w:val="a2"/>
    <w:uiPriority w:val="19"/>
    <w:qFormat/>
    <w:rsid w:val="00383A31"/>
    <w:rPr>
      <w:i/>
      <w:iCs/>
      <w:noProof w:val="0"/>
      <w:color w:val="404040" w:themeColor="text1" w:themeTint="BF"/>
    </w:rPr>
  </w:style>
  <w:style w:type="paragraph" w:styleId="afa">
    <w:name w:val="List Continue"/>
    <w:basedOn w:val="a1"/>
    <w:semiHidden/>
    <w:unhideWhenUsed/>
    <w:rsid w:val="00383A31"/>
    <w:pPr>
      <w:spacing w:after="120"/>
      <w:ind w:left="283"/>
      <w:contextualSpacing/>
    </w:pPr>
  </w:style>
  <w:style w:type="paragraph" w:styleId="25">
    <w:name w:val="List Continue 2"/>
    <w:basedOn w:val="a1"/>
    <w:semiHidden/>
    <w:unhideWhenUsed/>
    <w:rsid w:val="00383A31"/>
    <w:pPr>
      <w:spacing w:after="120"/>
      <w:ind w:left="566"/>
      <w:contextualSpacing/>
    </w:pPr>
  </w:style>
  <w:style w:type="paragraph" w:styleId="35">
    <w:name w:val="List Continue 3"/>
    <w:basedOn w:val="a1"/>
    <w:semiHidden/>
    <w:unhideWhenUsed/>
    <w:rsid w:val="00383A31"/>
    <w:pPr>
      <w:spacing w:after="120"/>
      <w:ind w:left="849"/>
      <w:contextualSpacing/>
    </w:pPr>
  </w:style>
  <w:style w:type="paragraph" w:styleId="42">
    <w:name w:val="List Continue 4"/>
    <w:basedOn w:val="a1"/>
    <w:semiHidden/>
    <w:unhideWhenUsed/>
    <w:rsid w:val="00383A31"/>
    <w:pPr>
      <w:spacing w:after="120"/>
      <w:ind w:left="1132"/>
      <w:contextualSpacing/>
    </w:pPr>
  </w:style>
  <w:style w:type="paragraph" w:styleId="53">
    <w:name w:val="List Continue 5"/>
    <w:basedOn w:val="a1"/>
    <w:semiHidden/>
    <w:unhideWhenUsed/>
    <w:rsid w:val="00383A31"/>
    <w:pPr>
      <w:spacing w:after="120"/>
      <w:ind w:left="1415"/>
      <w:contextualSpacing/>
    </w:pPr>
  </w:style>
  <w:style w:type="character" w:styleId="afb">
    <w:name w:val="Intense Reference"/>
    <w:basedOn w:val="a2"/>
    <w:uiPriority w:val="32"/>
    <w:qFormat/>
    <w:rsid w:val="00383A31"/>
    <w:rPr>
      <w:b/>
      <w:bCs/>
      <w:smallCaps/>
      <w:noProof w:val="0"/>
      <w:color w:val="4F81BD" w:themeColor="accent1"/>
      <w:spacing w:val="5"/>
    </w:rPr>
  </w:style>
  <w:style w:type="character" w:styleId="afc">
    <w:name w:val="endnote reference"/>
    <w:basedOn w:val="a2"/>
    <w:semiHidden/>
    <w:unhideWhenUsed/>
    <w:rsid w:val="00383A31"/>
    <w:rPr>
      <w:noProof w:val="0"/>
      <w:vertAlign w:val="superscript"/>
    </w:rPr>
  </w:style>
  <w:style w:type="character" w:styleId="afd">
    <w:name w:val="footnote reference"/>
    <w:basedOn w:val="a2"/>
    <w:semiHidden/>
    <w:unhideWhenUsed/>
    <w:rsid w:val="00383A31"/>
    <w:rPr>
      <w:noProof w:val="0"/>
      <w:vertAlign w:val="superscript"/>
    </w:rPr>
  </w:style>
  <w:style w:type="character" w:styleId="afe">
    <w:name w:val="Subtle Reference"/>
    <w:basedOn w:val="a2"/>
    <w:uiPriority w:val="31"/>
    <w:qFormat/>
    <w:rsid w:val="00383A31"/>
    <w:rPr>
      <w:smallCaps/>
      <w:noProof w:val="0"/>
      <w:color w:val="5A5A5A" w:themeColor="text1" w:themeTint="A5"/>
    </w:rPr>
  </w:style>
  <w:style w:type="table" w:styleId="aff">
    <w:name w:val="Light Shading"/>
    <w:basedOn w:val="a3"/>
    <w:uiPriority w:val="60"/>
    <w:semiHidden/>
    <w:unhideWhenUsed/>
    <w:rsid w:val="00383A3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383A31"/>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383A3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383A31"/>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383A31"/>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383A31"/>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383A31"/>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383A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383A3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383A3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383A31"/>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383A3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383A31"/>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383A3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383A31"/>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383A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383A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383A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383A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383A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383A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0">
    <w:name w:val="Colorful Shading"/>
    <w:basedOn w:val="a3"/>
    <w:uiPriority w:val="71"/>
    <w:semiHidden/>
    <w:unhideWhenUsed/>
    <w:rsid w:val="00383A31"/>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383A31"/>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383A31"/>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383A31"/>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383A31"/>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383A31"/>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383A31"/>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1">
    <w:name w:val="Strong"/>
    <w:basedOn w:val="a2"/>
    <w:qFormat/>
    <w:rsid w:val="00383A31"/>
    <w:rPr>
      <w:b/>
      <w:bCs/>
      <w:noProof w:val="0"/>
    </w:rPr>
  </w:style>
  <w:style w:type="paragraph" w:styleId="aff2">
    <w:name w:val="Signature"/>
    <w:basedOn w:val="a1"/>
    <w:link w:val="aff3"/>
    <w:semiHidden/>
    <w:unhideWhenUsed/>
    <w:rsid w:val="00383A31"/>
    <w:pPr>
      <w:ind w:left="4252"/>
    </w:pPr>
  </w:style>
  <w:style w:type="character" w:customStyle="1" w:styleId="aff3">
    <w:name w:val="חתימה תו"/>
    <w:basedOn w:val="a2"/>
    <w:link w:val="aff2"/>
    <w:semiHidden/>
    <w:rsid w:val="00383A31"/>
    <w:rPr>
      <w:rFonts w:cs="David"/>
      <w:noProof w:val="0"/>
      <w:sz w:val="24"/>
      <w:szCs w:val="24"/>
    </w:rPr>
  </w:style>
  <w:style w:type="paragraph" w:styleId="aff4">
    <w:name w:val="E-mail Signature"/>
    <w:basedOn w:val="a1"/>
    <w:link w:val="aff5"/>
    <w:semiHidden/>
    <w:unhideWhenUsed/>
    <w:rsid w:val="00383A31"/>
  </w:style>
  <w:style w:type="character" w:customStyle="1" w:styleId="aff5">
    <w:name w:val="חתימת דואר אלקטרוני תו"/>
    <w:basedOn w:val="a2"/>
    <w:link w:val="aff4"/>
    <w:semiHidden/>
    <w:rsid w:val="00383A31"/>
    <w:rPr>
      <w:rFonts w:cs="David"/>
      <w:noProof w:val="0"/>
      <w:sz w:val="24"/>
      <w:szCs w:val="24"/>
    </w:rPr>
  </w:style>
  <w:style w:type="table" w:styleId="aff6">
    <w:name w:val="Table Elegant"/>
    <w:basedOn w:val="a3"/>
    <w:semiHidden/>
    <w:unhideWhenUsed/>
    <w:rsid w:val="00383A31"/>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7">
    <w:name w:val="Table Professional"/>
    <w:basedOn w:val="a3"/>
    <w:semiHidden/>
    <w:unhideWhenUsed/>
    <w:rsid w:val="00383A31"/>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383A31"/>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383A31"/>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Contemporary"/>
    <w:basedOn w:val="a3"/>
    <w:semiHidden/>
    <w:unhideWhenUsed/>
    <w:rsid w:val="00383A31"/>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383A31"/>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383A31"/>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383A31"/>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383A31"/>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383A31"/>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383A31"/>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383A31"/>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383A31"/>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383A31"/>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383A31"/>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383A3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383A3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383A3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383A3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383A3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383A31"/>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383A31"/>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383A31"/>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383A3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383A31"/>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383A31"/>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383A31"/>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383A31"/>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383A31"/>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383A31"/>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383A3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383A31"/>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383A31"/>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383A31"/>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383A31"/>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383A31"/>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383A31"/>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383A3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383A31"/>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383A3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383A31"/>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383A31"/>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383A31"/>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383A31"/>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383A3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383A3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383A3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383A3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383A3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383A3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383A3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383A3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383A31"/>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383A31"/>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383A31"/>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383A31"/>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383A31"/>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383A31"/>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383A3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383A31"/>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383A31"/>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383A31"/>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383A31"/>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383A31"/>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383A31"/>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383A3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383A31"/>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383A31"/>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383A31"/>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383A31"/>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383A31"/>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383A31"/>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383A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383A31"/>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383A31"/>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383A31"/>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383A31"/>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383A3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383A31"/>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383A3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383A3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383A31"/>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383A31"/>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383A31"/>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383A31"/>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383A31"/>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383A3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383A3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383A3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383A3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383A3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383A3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383A3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383A3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383A3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383A31"/>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383A31"/>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383A31"/>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383A3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383A3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383A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383A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383A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383A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383A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383A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383A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383A3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383A3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383A31"/>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383A31"/>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383A31"/>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383A31"/>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383A31"/>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383A3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383A3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383A31"/>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383A31"/>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383A31"/>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383A31"/>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383A31"/>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9">
    <w:name w:val="Block Text"/>
    <w:basedOn w:val="a1"/>
    <w:semiHidden/>
    <w:unhideWhenUsed/>
    <w:rsid w:val="00383A3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a">
    <w:name w:val="endnote text"/>
    <w:basedOn w:val="a1"/>
    <w:link w:val="affb"/>
    <w:semiHidden/>
    <w:unhideWhenUsed/>
    <w:rsid w:val="00383A31"/>
    <w:rPr>
      <w:sz w:val="20"/>
      <w:szCs w:val="20"/>
    </w:rPr>
  </w:style>
  <w:style w:type="character" w:customStyle="1" w:styleId="affb">
    <w:name w:val="טקסט הערת סיום תו"/>
    <w:basedOn w:val="a2"/>
    <w:link w:val="affa"/>
    <w:semiHidden/>
    <w:rsid w:val="00383A31"/>
    <w:rPr>
      <w:rFonts w:cs="David"/>
      <w:noProof w:val="0"/>
    </w:rPr>
  </w:style>
  <w:style w:type="paragraph" w:styleId="affc">
    <w:name w:val="footnote text"/>
    <w:basedOn w:val="a1"/>
    <w:link w:val="affd"/>
    <w:semiHidden/>
    <w:unhideWhenUsed/>
    <w:rsid w:val="00383A31"/>
    <w:rPr>
      <w:sz w:val="20"/>
      <w:szCs w:val="20"/>
    </w:rPr>
  </w:style>
  <w:style w:type="character" w:customStyle="1" w:styleId="affd">
    <w:name w:val="טקסט הערת שוליים תו"/>
    <w:basedOn w:val="a2"/>
    <w:link w:val="affc"/>
    <w:semiHidden/>
    <w:rsid w:val="00383A31"/>
    <w:rPr>
      <w:rFonts w:cs="David"/>
      <w:noProof w:val="0"/>
    </w:rPr>
  </w:style>
  <w:style w:type="paragraph" w:styleId="affe">
    <w:name w:val="macro"/>
    <w:link w:val="afff"/>
    <w:semiHidden/>
    <w:unhideWhenUsed/>
    <w:rsid w:val="00383A31"/>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f">
    <w:name w:val="טקסט מאקרו תו"/>
    <w:basedOn w:val="a2"/>
    <w:link w:val="affe"/>
    <w:semiHidden/>
    <w:rsid w:val="00383A31"/>
    <w:rPr>
      <w:rFonts w:ascii="Consolas" w:hAnsi="Consolas" w:cs="David"/>
      <w:noProof w:val="0"/>
    </w:rPr>
  </w:style>
  <w:style w:type="paragraph" w:styleId="afff0">
    <w:name w:val="Plain Text"/>
    <w:basedOn w:val="a1"/>
    <w:link w:val="afff1"/>
    <w:semiHidden/>
    <w:unhideWhenUsed/>
    <w:rsid w:val="00383A31"/>
    <w:rPr>
      <w:rFonts w:ascii="Consolas" w:hAnsi="Consolas"/>
      <w:sz w:val="21"/>
      <w:szCs w:val="21"/>
    </w:rPr>
  </w:style>
  <w:style w:type="character" w:customStyle="1" w:styleId="afff1">
    <w:name w:val="טקסט רגיל תו"/>
    <w:basedOn w:val="a2"/>
    <w:link w:val="afff0"/>
    <w:semiHidden/>
    <w:rsid w:val="00383A31"/>
    <w:rPr>
      <w:rFonts w:ascii="Consolas" w:hAnsi="Consolas" w:cs="David"/>
      <w:noProof w:val="0"/>
      <w:sz w:val="21"/>
      <w:szCs w:val="21"/>
    </w:rPr>
  </w:style>
  <w:style w:type="character" w:styleId="afff2">
    <w:name w:val="Book Title"/>
    <w:basedOn w:val="a2"/>
    <w:uiPriority w:val="33"/>
    <w:qFormat/>
    <w:rsid w:val="00383A31"/>
    <w:rPr>
      <w:b/>
      <w:bCs/>
      <w:i/>
      <w:iCs/>
      <w:noProof w:val="0"/>
      <w:spacing w:val="5"/>
    </w:rPr>
  </w:style>
  <w:style w:type="character" w:customStyle="1" w:styleId="10">
    <w:name w:val="כותרת 1 תו"/>
    <w:basedOn w:val="a2"/>
    <w:link w:val="1"/>
    <w:rsid w:val="00383A31"/>
    <w:rPr>
      <w:rFonts w:asciiTheme="majorHAnsi" w:eastAsiaTheme="majorEastAsia" w:hAnsiTheme="majorHAnsi" w:cstheme="majorBidi"/>
      <w:noProof w:val="0"/>
      <w:color w:val="365F91" w:themeColor="accent1" w:themeShade="BF"/>
      <w:sz w:val="32"/>
      <w:szCs w:val="32"/>
    </w:rPr>
  </w:style>
  <w:style w:type="character" w:customStyle="1" w:styleId="22">
    <w:name w:val="כותרת 2 תו"/>
    <w:basedOn w:val="a2"/>
    <w:link w:val="21"/>
    <w:semiHidden/>
    <w:rsid w:val="00383A31"/>
    <w:rPr>
      <w:rFonts w:asciiTheme="majorHAnsi" w:eastAsiaTheme="majorEastAsia" w:hAnsiTheme="majorHAnsi" w:cstheme="majorBidi"/>
      <w:noProof w:val="0"/>
      <w:color w:val="365F91" w:themeColor="accent1" w:themeShade="BF"/>
      <w:sz w:val="26"/>
      <w:szCs w:val="26"/>
    </w:rPr>
  </w:style>
  <w:style w:type="character" w:customStyle="1" w:styleId="32">
    <w:name w:val="כותרת 3 תו"/>
    <w:basedOn w:val="a2"/>
    <w:link w:val="31"/>
    <w:semiHidden/>
    <w:rsid w:val="00383A31"/>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383A31"/>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383A31"/>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383A31"/>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383A31"/>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383A31"/>
    <w:rPr>
      <w:rFonts w:asciiTheme="majorHAnsi" w:eastAsiaTheme="majorEastAsia" w:hAnsiTheme="majorHAnsi" w:cstheme="majorBidi"/>
      <w:i/>
      <w:iCs/>
      <w:noProof w:val="0"/>
      <w:color w:val="272727" w:themeColor="text1" w:themeTint="D8"/>
      <w:sz w:val="21"/>
      <w:szCs w:val="21"/>
    </w:rPr>
  </w:style>
  <w:style w:type="paragraph" w:styleId="afff3">
    <w:name w:val="index heading"/>
    <w:basedOn w:val="a1"/>
    <w:next w:val="Index1"/>
    <w:semiHidden/>
    <w:unhideWhenUsed/>
    <w:rsid w:val="00383A31"/>
    <w:rPr>
      <w:rFonts w:asciiTheme="majorHAnsi" w:eastAsiaTheme="majorEastAsia" w:hAnsiTheme="majorHAnsi" w:cstheme="majorBidi"/>
      <w:b/>
      <w:bCs/>
    </w:rPr>
  </w:style>
  <w:style w:type="paragraph" w:styleId="afff4">
    <w:name w:val="Note Heading"/>
    <w:basedOn w:val="a1"/>
    <w:next w:val="a1"/>
    <w:link w:val="afff5"/>
    <w:semiHidden/>
    <w:unhideWhenUsed/>
    <w:rsid w:val="00383A31"/>
  </w:style>
  <w:style w:type="character" w:customStyle="1" w:styleId="afff5">
    <w:name w:val="כותרת הערות תו"/>
    <w:basedOn w:val="a2"/>
    <w:link w:val="afff4"/>
    <w:semiHidden/>
    <w:rsid w:val="00383A31"/>
    <w:rPr>
      <w:rFonts w:cs="David"/>
      <w:noProof w:val="0"/>
      <w:sz w:val="24"/>
      <w:szCs w:val="24"/>
    </w:rPr>
  </w:style>
  <w:style w:type="paragraph" w:styleId="afff6">
    <w:name w:val="Title"/>
    <w:basedOn w:val="a1"/>
    <w:next w:val="a1"/>
    <w:link w:val="afff7"/>
    <w:qFormat/>
    <w:rsid w:val="00383A31"/>
    <w:pPr>
      <w:contextualSpacing/>
    </w:pPr>
    <w:rPr>
      <w:rFonts w:asciiTheme="majorHAnsi" w:eastAsiaTheme="majorEastAsia" w:hAnsiTheme="majorHAnsi" w:cstheme="majorBidi"/>
      <w:spacing w:val="-10"/>
      <w:kern w:val="28"/>
      <w:sz w:val="56"/>
      <w:szCs w:val="56"/>
    </w:rPr>
  </w:style>
  <w:style w:type="character" w:customStyle="1" w:styleId="afff7">
    <w:name w:val="כותרת טקסט תו"/>
    <w:basedOn w:val="a2"/>
    <w:link w:val="afff6"/>
    <w:rsid w:val="00383A31"/>
    <w:rPr>
      <w:rFonts w:asciiTheme="majorHAnsi" w:eastAsiaTheme="majorEastAsia" w:hAnsiTheme="majorHAnsi" w:cstheme="majorBidi"/>
      <w:noProof w:val="0"/>
      <w:spacing w:val="-10"/>
      <w:kern w:val="28"/>
      <w:sz w:val="56"/>
      <w:szCs w:val="56"/>
    </w:rPr>
  </w:style>
  <w:style w:type="paragraph" w:styleId="afff8">
    <w:name w:val="Subtitle"/>
    <w:basedOn w:val="a1"/>
    <w:next w:val="a1"/>
    <w:link w:val="afff9"/>
    <w:qFormat/>
    <w:rsid w:val="00383A3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9">
    <w:name w:val="כותרת משנה תו"/>
    <w:basedOn w:val="a2"/>
    <w:link w:val="afff8"/>
    <w:rsid w:val="00383A31"/>
    <w:rPr>
      <w:rFonts w:asciiTheme="minorHAnsi" w:eastAsiaTheme="minorEastAsia" w:hAnsiTheme="minorHAnsi" w:cstheme="minorBidi"/>
      <w:noProof w:val="0"/>
      <w:color w:val="5A5A5A" w:themeColor="text1" w:themeTint="A5"/>
      <w:spacing w:val="15"/>
      <w:sz w:val="22"/>
      <w:szCs w:val="22"/>
    </w:rPr>
  </w:style>
  <w:style w:type="paragraph" w:styleId="afffa">
    <w:name w:val="Message Header"/>
    <w:basedOn w:val="a1"/>
    <w:link w:val="afffb"/>
    <w:semiHidden/>
    <w:unhideWhenUsed/>
    <w:rsid w:val="00383A31"/>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b">
    <w:name w:val="כותרת עליונה של הודעה תו"/>
    <w:basedOn w:val="a2"/>
    <w:link w:val="afffa"/>
    <w:semiHidden/>
    <w:rsid w:val="00383A31"/>
    <w:rPr>
      <w:rFonts w:asciiTheme="majorHAnsi" w:eastAsiaTheme="majorEastAsia" w:hAnsiTheme="majorHAnsi" w:cstheme="majorBidi"/>
      <w:noProof w:val="0"/>
      <w:sz w:val="24"/>
      <w:szCs w:val="24"/>
      <w:shd w:val="pct20" w:color="auto" w:fill="auto"/>
    </w:rPr>
  </w:style>
  <w:style w:type="paragraph" w:styleId="afffc">
    <w:name w:val="toa heading"/>
    <w:basedOn w:val="a1"/>
    <w:next w:val="a1"/>
    <w:semiHidden/>
    <w:unhideWhenUsed/>
    <w:rsid w:val="00383A31"/>
    <w:pPr>
      <w:spacing w:before="120"/>
    </w:pPr>
    <w:rPr>
      <w:rFonts w:asciiTheme="majorHAnsi" w:eastAsiaTheme="majorEastAsia" w:hAnsiTheme="majorHAnsi" w:cstheme="majorBidi"/>
      <w:b/>
      <w:bCs/>
    </w:rPr>
  </w:style>
  <w:style w:type="paragraph" w:styleId="afffd">
    <w:name w:val="TOC Heading"/>
    <w:basedOn w:val="1"/>
    <w:next w:val="a1"/>
    <w:uiPriority w:val="39"/>
    <w:semiHidden/>
    <w:unhideWhenUsed/>
    <w:qFormat/>
    <w:rsid w:val="00383A31"/>
    <w:pPr>
      <w:outlineLvl w:val="9"/>
    </w:pPr>
  </w:style>
  <w:style w:type="paragraph" w:styleId="afffe">
    <w:name w:val="caption"/>
    <w:basedOn w:val="a1"/>
    <w:next w:val="a1"/>
    <w:semiHidden/>
    <w:unhideWhenUsed/>
    <w:qFormat/>
    <w:rsid w:val="00383A31"/>
    <w:pPr>
      <w:spacing w:after="200"/>
    </w:pPr>
    <w:rPr>
      <w:i/>
      <w:iCs/>
      <w:color w:val="1F497D" w:themeColor="text2"/>
      <w:sz w:val="18"/>
      <w:szCs w:val="18"/>
    </w:rPr>
  </w:style>
  <w:style w:type="paragraph" w:styleId="affff">
    <w:name w:val="Body Text Indent"/>
    <w:basedOn w:val="a1"/>
    <w:link w:val="affff0"/>
    <w:semiHidden/>
    <w:unhideWhenUsed/>
    <w:rsid w:val="00383A31"/>
    <w:pPr>
      <w:spacing w:after="120"/>
      <w:ind w:left="283"/>
    </w:pPr>
  </w:style>
  <w:style w:type="character" w:customStyle="1" w:styleId="affff0">
    <w:name w:val="כניסה בגוף טקסט תו"/>
    <w:basedOn w:val="a2"/>
    <w:link w:val="affff"/>
    <w:semiHidden/>
    <w:rsid w:val="00383A31"/>
    <w:rPr>
      <w:rFonts w:cs="David"/>
      <w:noProof w:val="0"/>
      <w:sz w:val="24"/>
      <w:szCs w:val="24"/>
    </w:rPr>
  </w:style>
  <w:style w:type="paragraph" w:styleId="2f">
    <w:name w:val="Body Text Indent 2"/>
    <w:basedOn w:val="a1"/>
    <w:link w:val="2f0"/>
    <w:semiHidden/>
    <w:unhideWhenUsed/>
    <w:rsid w:val="00383A31"/>
    <w:pPr>
      <w:spacing w:after="120" w:line="480" w:lineRule="auto"/>
      <w:ind w:left="283"/>
    </w:pPr>
  </w:style>
  <w:style w:type="character" w:customStyle="1" w:styleId="2f0">
    <w:name w:val="כניסה בגוף טקסט 2 תו"/>
    <w:basedOn w:val="a2"/>
    <w:link w:val="2f"/>
    <w:semiHidden/>
    <w:rsid w:val="00383A31"/>
    <w:rPr>
      <w:rFonts w:cs="David"/>
      <w:noProof w:val="0"/>
      <w:sz w:val="24"/>
      <w:szCs w:val="24"/>
    </w:rPr>
  </w:style>
  <w:style w:type="paragraph" w:styleId="3d">
    <w:name w:val="Body Text Indent 3"/>
    <w:basedOn w:val="a1"/>
    <w:link w:val="3e"/>
    <w:semiHidden/>
    <w:unhideWhenUsed/>
    <w:rsid w:val="00383A31"/>
    <w:pPr>
      <w:spacing w:after="120"/>
      <w:ind w:left="283"/>
    </w:pPr>
    <w:rPr>
      <w:sz w:val="16"/>
      <w:szCs w:val="16"/>
    </w:rPr>
  </w:style>
  <w:style w:type="character" w:customStyle="1" w:styleId="3e">
    <w:name w:val="כניסה בגוף טקסט 3 תו"/>
    <w:basedOn w:val="a2"/>
    <w:link w:val="3d"/>
    <w:semiHidden/>
    <w:rsid w:val="00383A31"/>
    <w:rPr>
      <w:rFonts w:cs="David"/>
      <w:noProof w:val="0"/>
      <w:sz w:val="16"/>
      <w:szCs w:val="16"/>
    </w:rPr>
  </w:style>
  <w:style w:type="paragraph" w:styleId="affff1">
    <w:name w:val="Normal Indent"/>
    <w:basedOn w:val="a1"/>
    <w:semiHidden/>
    <w:unhideWhenUsed/>
    <w:rsid w:val="00383A31"/>
    <w:pPr>
      <w:ind w:left="720"/>
    </w:pPr>
  </w:style>
  <w:style w:type="paragraph" w:styleId="affff2">
    <w:name w:val="Body Text First Indent"/>
    <w:basedOn w:val="af5"/>
    <w:link w:val="affff3"/>
    <w:rsid w:val="00383A31"/>
    <w:pPr>
      <w:spacing w:after="0"/>
      <w:ind w:firstLine="360"/>
    </w:pPr>
  </w:style>
  <w:style w:type="character" w:customStyle="1" w:styleId="affff3">
    <w:name w:val="כניסת שורה ראשונה בגוף טקסט תו"/>
    <w:basedOn w:val="af6"/>
    <w:link w:val="affff2"/>
    <w:rsid w:val="00383A31"/>
    <w:rPr>
      <w:rFonts w:cs="David"/>
      <w:noProof w:val="0"/>
      <w:sz w:val="24"/>
      <w:szCs w:val="24"/>
    </w:rPr>
  </w:style>
  <w:style w:type="paragraph" w:styleId="2f1">
    <w:name w:val="Body Text First Indent 2"/>
    <w:basedOn w:val="affff"/>
    <w:link w:val="2f2"/>
    <w:semiHidden/>
    <w:unhideWhenUsed/>
    <w:rsid w:val="00383A31"/>
    <w:pPr>
      <w:spacing w:after="0"/>
      <w:ind w:left="360" w:firstLine="360"/>
    </w:pPr>
  </w:style>
  <w:style w:type="character" w:customStyle="1" w:styleId="2f2">
    <w:name w:val="כניסת שורה ראשונה בגוף טקסט 2 תו"/>
    <w:basedOn w:val="affff0"/>
    <w:link w:val="2f1"/>
    <w:semiHidden/>
    <w:rsid w:val="00383A31"/>
    <w:rPr>
      <w:rFonts w:cs="David"/>
      <w:noProof w:val="0"/>
      <w:sz w:val="24"/>
      <w:szCs w:val="24"/>
    </w:rPr>
  </w:style>
  <w:style w:type="paragraph" w:styleId="HTML2">
    <w:name w:val="HTML Address"/>
    <w:basedOn w:val="a1"/>
    <w:link w:val="HTML3"/>
    <w:semiHidden/>
    <w:unhideWhenUsed/>
    <w:rsid w:val="00383A31"/>
    <w:rPr>
      <w:i/>
      <w:iCs/>
    </w:rPr>
  </w:style>
  <w:style w:type="character" w:customStyle="1" w:styleId="HTML3">
    <w:name w:val="כתובת HTML תו"/>
    <w:basedOn w:val="a2"/>
    <w:link w:val="HTML2"/>
    <w:semiHidden/>
    <w:rsid w:val="00383A31"/>
    <w:rPr>
      <w:rFonts w:cs="David"/>
      <w:i/>
      <w:iCs/>
      <w:noProof w:val="0"/>
      <w:sz w:val="24"/>
      <w:szCs w:val="24"/>
    </w:rPr>
  </w:style>
  <w:style w:type="paragraph" w:styleId="affff4">
    <w:name w:val="envelope address"/>
    <w:basedOn w:val="a1"/>
    <w:semiHidden/>
    <w:unhideWhenUsed/>
    <w:rsid w:val="00383A31"/>
    <w:pPr>
      <w:framePr w:w="7920" w:h="1980" w:hRule="exact" w:hSpace="180" w:wrap="auto" w:hAnchor="page" w:xAlign="center" w:yAlign="bottom"/>
      <w:ind w:left="2880"/>
    </w:pPr>
    <w:rPr>
      <w:rFonts w:asciiTheme="majorHAnsi" w:eastAsiaTheme="majorEastAsia" w:hAnsiTheme="majorHAnsi" w:cstheme="majorBidi"/>
    </w:rPr>
  </w:style>
  <w:style w:type="paragraph" w:styleId="affff5">
    <w:name w:val="envelope return"/>
    <w:basedOn w:val="a1"/>
    <w:semiHidden/>
    <w:unhideWhenUsed/>
    <w:rsid w:val="00383A31"/>
    <w:rPr>
      <w:rFonts w:asciiTheme="majorHAnsi" w:eastAsiaTheme="majorEastAsia" w:hAnsiTheme="majorHAnsi" w:cstheme="majorBidi"/>
      <w:sz w:val="20"/>
      <w:szCs w:val="20"/>
    </w:rPr>
  </w:style>
  <w:style w:type="paragraph" w:styleId="affff6">
    <w:name w:val="No Spacing"/>
    <w:uiPriority w:val="1"/>
    <w:qFormat/>
    <w:rsid w:val="00383A31"/>
    <w:pPr>
      <w:bidi/>
    </w:pPr>
    <w:rPr>
      <w:rFonts w:cs="David"/>
      <w:sz w:val="24"/>
      <w:szCs w:val="24"/>
    </w:rPr>
  </w:style>
  <w:style w:type="character" w:styleId="HTML4">
    <w:name w:val="HTML Typewriter"/>
    <w:basedOn w:val="a2"/>
    <w:semiHidden/>
    <w:unhideWhenUsed/>
    <w:rsid w:val="00383A31"/>
    <w:rPr>
      <w:rFonts w:ascii="Consolas" w:hAnsi="Consolas"/>
      <w:noProof w:val="0"/>
      <w:sz w:val="20"/>
      <w:szCs w:val="20"/>
    </w:rPr>
  </w:style>
  <w:style w:type="paragraph" w:styleId="affff7">
    <w:name w:val="Document Map"/>
    <w:basedOn w:val="a1"/>
    <w:link w:val="affff8"/>
    <w:semiHidden/>
    <w:unhideWhenUsed/>
    <w:rsid w:val="00383A31"/>
    <w:rPr>
      <w:rFonts w:ascii="Tahoma" w:hAnsi="Tahoma" w:cs="Tahoma"/>
      <w:sz w:val="16"/>
      <w:szCs w:val="16"/>
    </w:rPr>
  </w:style>
  <w:style w:type="character" w:customStyle="1" w:styleId="affff8">
    <w:name w:val="מפת מסמך תו"/>
    <w:basedOn w:val="a2"/>
    <w:link w:val="affff7"/>
    <w:semiHidden/>
    <w:rsid w:val="00383A31"/>
    <w:rPr>
      <w:rFonts w:ascii="Tahoma" w:hAnsi="Tahoma" w:cs="Tahoma"/>
      <w:noProof w:val="0"/>
      <w:sz w:val="16"/>
      <w:szCs w:val="16"/>
    </w:rPr>
  </w:style>
  <w:style w:type="character" w:styleId="HTML5">
    <w:name w:val="HTML Keyboard"/>
    <w:basedOn w:val="a2"/>
    <w:semiHidden/>
    <w:unhideWhenUsed/>
    <w:rsid w:val="00383A31"/>
    <w:rPr>
      <w:rFonts w:ascii="Consolas" w:hAnsi="Consolas"/>
      <w:noProof w:val="0"/>
      <w:sz w:val="20"/>
      <w:szCs w:val="20"/>
    </w:rPr>
  </w:style>
  <w:style w:type="paragraph" w:styleId="affff9">
    <w:name w:val="annotation subject"/>
    <w:basedOn w:val="a8"/>
    <w:next w:val="a8"/>
    <w:link w:val="affffa"/>
    <w:semiHidden/>
    <w:unhideWhenUsed/>
    <w:rsid w:val="00383A31"/>
    <w:rPr>
      <w:rFonts w:cs="David"/>
      <w:b/>
      <w:bCs/>
      <w:sz w:val="20"/>
      <w:szCs w:val="20"/>
    </w:rPr>
  </w:style>
  <w:style w:type="character" w:customStyle="1" w:styleId="a9">
    <w:name w:val="טקסט הערה תו"/>
    <w:basedOn w:val="a2"/>
    <w:link w:val="a8"/>
    <w:semiHidden/>
    <w:rsid w:val="00383A31"/>
    <w:rPr>
      <w:noProof w:val="0"/>
      <w:sz w:val="24"/>
      <w:szCs w:val="24"/>
    </w:rPr>
  </w:style>
  <w:style w:type="character" w:customStyle="1" w:styleId="affffa">
    <w:name w:val="נושא הערה תו"/>
    <w:basedOn w:val="a9"/>
    <w:link w:val="affff9"/>
    <w:semiHidden/>
    <w:rsid w:val="00383A31"/>
    <w:rPr>
      <w:rFonts w:cs="David"/>
      <w:b/>
      <w:bCs/>
      <w:noProof w:val="0"/>
      <w:sz w:val="24"/>
      <w:szCs w:val="24"/>
    </w:rPr>
  </w:style>
  <w:style w:type="table" w:styleId="affffb">
    <w:name w:val="Table Theme"/>
    <w:basedOn w:val="a3"/>
    <w:semiHidden/>
    <w:unhideWhenUsed/>
    <w:rsid w:val="00383A3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Closing"/>
    <w:basedOn w:val="a1"/>
    <w:link w:val="affffd"/>
    <w:semiHidden/>
    <w:unhideWhenUsed/>
    <w:rsid w:val="00383A31"/>
    <w:pPr>
      <w:ind w:left="4252"/>
    </w:pPr>
  </w:style>
  <w:style w:type="character" w:customStyle="1" w:styleId="affffd">
    <w:name w:val="סיום תו"/>
    <w:basedOn w:val="a2"/>
    <w:link w:val="affffc"/>
    <w:semiHidden/>
    <w:rsid w:val="00383A31"/>
    <w:rPr>
      <w:rFonts w:cs="David"/>
      <w:noProof w:val="0"/>
      <w:sz w:val="24"/>
      <w:szCs w:val="24"/>
    </w:rPr>
  </w:style>
  <w:style w:type="table" w:styleId="1b">
    <w:name w:val="Table Columns 1"/>
    <w:basedOn w:val="a3"/>
    <w:semiHidden/>
    <w:unhideWhenUsed/>
    <w:rsid w:val="00383A31"/>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383A31"/>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383A31"/>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383A31"/>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383A31"/>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e">
    <w:name w:val="Quote"/>
    <w:basedOn w:val="a1"/>
    <w:next w:val="a1"/>
    <w:link w:val="afffff"/>
    <w:uiPriority w:val="29"/>
    <w:qFormat/>
    <w:rsid w:val="00383A31"/>
    <w:pPr>
      <w:spacing w:before="200" w:after="160"/>
      <w:ind w:left="864" w:right="864"/>
      <w:jc w:val="center"/>
    </w:pPr>
    <w:rPr>
      <w:i/>
      <w:iCs/>
      <w:color w:val="404040" w:themeColor="text1" w:themeTint="BF"/>
    </w:rPr>
  </w:style>
  <w:style w:type="character" w:customStyle="1" w:styleId="afffff">
    <w:name w:val="ציטוט תו"/>
    <w:basedOn w:val="a2"/>
    <w:link w:val="affffe"/>
    <w:uiPriority w:val="29"/>
    <w:rsid w:val="00383A31"/>
    <w:rPr>
      <w:rFonts w:cs="David"/>
      <w:i/>
      <w:iCs/>
      <w:noProof w:val="0"/>
      <w:color w:val="404040" w:themeColor="text1" w:themeTint="BF"/>
      <w:sz w:val="24"/>
      <w:szCs w:val="24"/>
    </w:rPr>
  </w:style>
  <w:style w:type="paragraph" w:styleId="afffff0">
    <w:name w:val="Intense Quote"/>
    <w:basedOn w:val="a1"/>
    <w:next w:val="a1"/>
    <w:link w:val="afffff1"/>
    <w:uiPriority w:val="30"/>
    <w:qFormat/>
    <w:rsid w:val="00383A3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1">
    <w:name w:val="ציטוט חזק תו"/>
    <w:basedOn w:val="a2"/>
    <w:link w:val="afffff0"/>
    <w:uiPriority w:val="30"/>
    <w:rsid w:val="00383A31"/>
    <w:rPr>
      <w:rFonts w:cs="David"/>
      <w:i/>
      <w:iCs/>
      <w:noProof w:val="0"/>
      <w:color w:val="4F81BD" w:themeColor="accent1"/>
      <w:sz w:val="24"/>
      <w:szCs w:val="24"/>
    </w:rPr>
  </w:style>
  <w:style w:type="character" w:styleId="HTML6">
    <w:name w:val="HTML Acronym"/>
    <w:basedOn w:val="a2"/>
    <w:semiHidden/>
    <w:unhideWhenUsed/>
    <w:rsid w:val="00383A31"/>
    <w:rPr>
      <w:noProof w:val="0"/>
    </w:rPr>
  </w:style>
  <w:style w:type="paragraph" w:styleId="afffff2">
    <w:name w:val="List"/>
    <w:basedOn w:val="a1"/>
    <w:semiHidden/>
    <w:unhideWhenUsed/>
    <w:rsid w:val="00383A31"/>
    <w:pPr>
      <w:ind w:left="283" w:hanging="283"/>
      <w:contextualSpacing/>
    </w:pPr>
  </w:style>
  <w:style w:type="paragraph" w:styleId="2f4">
    <w:name w:val="List 2"/>
    <w:basedOn w:val="a1"/>
    <w:semiHidden/>
    <w:unhideWhenUsed/>
    <w:rsid w:val="00383A31"/>
    <w:pPr>
      <w:ind w:left="566" w:hanging="283"/>
      <w:contextualSpacing/>
    </w:pPr>
  </w:style>
  <w:style w:type="paragraph" w:styleId="3f0">
    <w:name w:val="List 3"/>
    <w:basedOn w:val="a1"/>
    <w:semiHidden/>
    <w:unhideWhenUsed/>
    <w:rsid w:val="00383A31"/>
    <w:pPr>
      <w:ind w:left="849" w:hanging="283"/>
      <w:contextualSpacing/>
    </w:pPr>
  </w:style>
  <w:style w:type="paragraph" w:styleId="48">
    <w:name w:val="List 4"/>
    <w:basedOn w:val="a1"/>
    <w:rsid w:val="00383A31"/>
    <w:pPr>
      <w:ind w:left="1132" w:hanging="283"/>
      <w:contextualSpacing/>
    </w:pPr>
  </w:style>
  <w:style w:type="paragraph" w:styleId="58">
    <w:name w:val="List 5"/>
    <w:basedOn w:val="a1"/>
    <w:rsid w:val="00383A31"/>
    <w:pPr>
      <w:ind w:left="1415" w:hanging="283"/>
      <w:contextualSpacing/>
    </w:pPr>
  </w:style>
  <w:style w:type="table" w:styleId="afffff3">
    <w:name w:val="Light List"/>
    <w:basedOn w:val="a3"/>
    <w:uiPriority w:val="61"/>
    <w:semiHidden/>
    <w:unhideWhenUsed/>
    <w:rsid w:val="00383A3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383A3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383A3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383A3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383A31"/>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383A3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383A3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383A31"/>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383A31"/>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383A31"/>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383A31"/>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383A31"/>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383A31"/>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383A31"/>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383A31"/>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383A3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383A3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383A31"/>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383A31"/>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383A31"/>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383A31"/>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383A31"/>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383A3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383A31"/>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383A31"/>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383A31"/>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383A31"/>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383A3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383A31"/>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4">
    <w:name w:val="Dark List"/>
    <w:basedOn w:val="a3"/>
    <w:uiPriority w:val="70"/>
    <w:semiHidden/>
    <w:unhideWhenUsed/>
    <w:rsid w:val="00383A3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383A31"/>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383A31"/>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383A31"/>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383A31"/>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383A31"/>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383A31"/>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383A31"/>
    <w:pPr>
      <w:numPr>
        <w:numId w:val="4"/>
      </w:numPr>
      <w:contextualSpacing/>
    </w:pPr>
  </w:style>
  <w:style w:type="paragraph" w:styleId="2">
    <w:name w:val="List Number 2"/>
    <w:basedOn w:val="a1"/>
    <w:semiHidden/>
    <w:unhideWhenUsed/>
    <w:rsid w:val="00383A31"/>
    <w:pPr>
      <w:numPr>
        <w:numId w:val="5"/>
      </w:numPr>
      <w:contextualSpacing/>
    </w:pPr>
  </w:style>
  <w:style w:type="paragraph" w:styleId="3">
    <w:name w:val="List Number 3"/>
    <w:basedOn w:val="a1"/>
    <w:semiHidden/>
    <w:unhideWhenUsed/>
    <w:rsid w:val="00383A31"/>
    <w:pPr>
      <w:numPr>
        <w:numId w:val="6"/>
      </w:numPr>
      <w:contextualSpacing/>
    </w:pPr>
  </w:style>
  <w:style w:type="paragraph" w:styleId="4">
    <w:name w:val="List Number 4"/>
    <w:basedOn w:val="a1"/>
    <w:semiHidden/>
    <w:unhideWhenUsed/>
    <w:rsid w:val="00383A31"/>
    <w:pPr>
      <w:numPr>
        <w:numId w:val="7"/>
      </w:numPr>
      <w:contextualSpacing/>
    </w:pPr>
  </w:style>
  <w:style w:type="paragraph" w:styleId="5">
    <w:name w:val="List Number 5"/>
    <w:basedOn w:val="a1"/>
    <w:semiHidden/>
    <w:unhideWhenUsed/>
    <w:rsid w:val="00383A31"/>
    <w:pPr>
      <w:numPr>
        <w:numId w:val="8"/>
      </w:numPr>
      <w:contextualSpacing/>
    </w:pPr>
  </w:style>
  <w:style w:type="paragraph" w:styleId="a0">
    <w:name w:val="List Bullet"/>
    <w:basedOn w:val="a1"/>
    <w:semiHidden/>
    <w:unhideWhenUsed/>
    <w:rsid w:val="00383A31"/>
    <w:pPr>
      <w:numPr>
        <w:numId w:val="9"/>
      </w:numPr>
      <w:contextualSpacing/>
    </w:pPr>
  </w:style>
  <w:style w:type="paragraph" w:styleId="20">
    <w:name w:val="List Bullet 2"/>
    <w:basedOn w:val="a1"/>
    <w:semiHidden/>
    <w:unhideWhenUsed/>
    <w:rsid w:val="00383A31"/>
    <w:pPr>
      <w:numPr>
        <w:numId w:val="10"/>
      </w:numPr>
      <w:contextualSpacing/>
    </w:pPr>
  </w:style>
  <w:style w:type="paragraph" w:styleId="30">
    <w:name w:val="List Bullet 3"/>
    <w:basedOn w:val="a1"/>
    <w:semiHidden/>
    <w:unhideWhenUsed/>
    <w:rsid w:val="00383A31"/>
    <w:pPr>
      <w:numPr>
        <w:numId w:val="11"/>
      </w:numPr>
      <w:contextualSpacing/>
    </w:pPr>
  </w:style>
  <w:style w:type="paragraph" w:styleId="40">
    <w:name w:val="List Bullet 4"/>
    <w:basedOn w:val="a1"/>
    <w:semiHidden/>
    <w:unhideWhenUsed/>
    <w:rsid w:val="00383A31"/>
    <w:pPr>
      <w:numPr>
        <w:numId w:val="12"/>
      </w:numPr>
      <w:contextualSpacing/>
    </w:pPr>
  </w:style>
  <w:style w:type="paragraph" w:styleId="50">
    <w:name w:val="List Bullet 5"/>
    <w:basedOn w:val="a1"/>
    <w:semiHidden/>
    <w:unhideWhenUsed/>
    <w:rsid w:val="00383A31"/>
    <w:pPr>
      <w:numPr>
        <w:numId w:val="13"/>
      </w:numPr>
      <w:contextualSpacing/>
    </w:pPr>
  </w:style>
  <w:style w:type="table" w:styleId="afffff5">
    <w:name w:val="Colorful List"/>
    <w:basedOn w:val="a3"/>
    <w:uiPriority w:val="72"/>
    <w:semiHidden/>
    <w:unhideWhenUsed/>
    <w:rsid w:val="00383A3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383A3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383A31"/>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383A31"/>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383A31"/>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383A31"/>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383A31"/>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6">
    <w:name w:val="table of figures"/>
    <w:basedOn w:val="a1"/>
    <w:next w:val="a1"/>
    <w:semiHidden/>
    <w:unhideWhenUsed/>
    <w:rsid w:val="00383A31"/>
  </w:style>
  <w:style w:type="paragraph" w:styleId="afffff7">
    <w:name w:val="table of authorities"/>
    <w:basedOn w:val="a1"/>
    <w:next w:val="a1"/>
    <w:semiHidden/>
    <w:unhideWhenUsed/>
    <w:rsid w:val="00383A31"/>
    <w:pPr>
      <w:ind w:left="240" w:hanging="240"/>
    </w:pPr>
  </w:style>
  <w:style w:type="table" w:styleId="afffff8">
    <w:name w:val="Light Grid"/>
    <w:basedOn w:val="a3"/>
    <w:uiPriority w:val="62"/>
    <w:semiHidden/>
    <w:unhideWhenUsed/>
    <w:rsid w:val="00383A3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383A3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383A31"/>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383A3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383A31"/>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383A31"/>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383A3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383A31"/>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383A3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383A31"/>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383A31"/>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383A31"/>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383A31"/>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383A31"/>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383A3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383A31"/>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383A31"/>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383A31"/>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383A31"/>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383A31"/>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383A31"/>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383A3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383A3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383A3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383A3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383A3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383A3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383A3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383A31"/>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383A31"/>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383A31"/>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383A31"/>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383A31"/>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383A31"/>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383A31"/>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383A31"/>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9">
    <w:name w:val="Grid Table Light"/>
    <w:basedOn w:val="a3"/>
    <w:uiPriority w:val="40"/>
    <w:rsid w:val="00383A3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a">
    <w:name w:val="Colorful Grid"/>
    <w:basedOn w:val="a3"/>
    <w:uiPriority w:val="73"/>
    <w:semiHidden/>
    <w:unhideWhenUsed/>
    <w:rsid w:val="00383A3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383A31"/>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383A31"/>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383A31"/>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383A31"/>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383A31"/>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383A31"/>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b">
    <w:name w:val="Date"/>
    <w:basedOn w:val="a1"/>
    <w:next w:val="a1"/>
    <w:link w:val="afffffc"/>
    <w:rsid w:val="00383A31"/>
  </w:style>
  <w:style w:type="character" w:customStyle="1" w:styleId="afffffc">
    <w:name w:val="תאריך תו"/>
    <w:basedOn w:val="a2"/>
    <w:link w:val="afffffb"/>
    <w:rsid w:val="00383A31"/>
    <w:rPr>
      <w:rFonts w:cs="David"/>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24270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AA7CE3">
          <w:r w:rsidRPr="00D47A1C">
            <w:rPr>
              <w:rStyle w:val="a3"/>
              <w:rtl/>
            </w:rPr>
            <w:t>לחץ כאן להזנת טקסט</w:t>
          </w:r>
          <w:r w:rsidRPr="00D47A1C">
            <w:rPr>
              <w:rStyle w:val="a3"/>
            </w:rPr>
            <w:t>.</w:t>
          </w:r>
        </w:p>
      </w:docPartBody>
    </w:docPart>
    <w:docPart>
      <w:docPartPr>
        <w:name w:val="70EACA479E94447D807C62CB23368C1B"/>
        <w:category>
          <w:name w:val="כללי"/>
          <w:gallery w:val="placeholder"/>
        </w:category>
        <w:types>
          <w:type w:val="bbPlcHdr"/>
        </w:types>
        <w:behaviors>
          <w:behavior w:val="content"/>
        </w:behaviors>
        <w:guid w:val="{426C2C2F-CB3A-45E7-833E-72E5D9329650}"/>
      </w:docPartPr>
      <w:docPartBody>
        <w:p w:rsidR="00CF312B" w:rsidRDefault="00773910" w:rsidP="00773910">
          <w:pPr>
            <w:pStyle w:val="70EACA479E94447D807C62CB23368C1B13"/>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2D02C4"/>
    <w:rsid w:val="004206D0"/>
    <w:rsid w:val="0048651F"/>
    <w:rsid w:val="00556D67"/>
    <w:rsid w:val="0056562B"/>
    <w:rsid w:val="00602F58"/>
    <w:rsid w:val="006D1134"/>
    <w:rsid w:val="00773910"/>
    <w:rsid w:val="00793995"/>
    <w:rsid w:val="007C6F98"/>
    <w:rsid w:val="008B4366"/>
    <w:rsid w:val="008E0A19"/>
    <w:rsid w:val="00902842"/>
    <w:rsid w:val="009133C7"/>
    <w:rsid w:val="0093110E"/>
    <w:rsid w:val="00AA7CE3"/>
    <w:rsid w:val="00B91FA3"/>
    <w:rsid w:val="00C02050"/>
    <w:rsid w:val="00C96C06"/>
    <w:rsid w:val="00CF312B"/>
    <w:rsid w:val="00E81DB1"/>
    <w:rsid w:val="00F678CA"/>
    <w:rsid w:val="00FA7FE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7391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70EACA479E94447D807C62CB23368C1B">
    <w:name w:val="70EACA479E94447D807C62CB23368C1B"/>
    <w:rsid w:val="006D1134"/>
    <w:pPr>
      <w:bidi/>
      <w:spacing w:after="0" w:line="240" w:lineRule="auto"/>
    </w:pPr>
    <w:rPr>
      <w:rFonts w:ascii="Times New Roman" w:eastAsia="Times New Roman" w:hAnsi="Times New Roman" w:cs="David"/>
      <w:noProof/>
      <w:sz w:val="24"/>
      <w:szCs w:val="24"/>
    </w:rPr>
  </w:style>
  <w:style w:type="paragraph" w:customStyle="1" w:styleId="70EACA479E94447D807C62CB23368C1B1">
    <w:name w:val="70EACA479E94447D807C62CB23368C1B1"/>
    <w:rsid w:val="006D1134"/>
    <w:pPr>
      <w:bidi/>
      <w:spacing w:after="0" w:line="240" w:lineRule="auto"/>
    </w:pPr>
    <w:rPr>
      <w:rFonts w:ascii="Times New Roman" w:eastAsia="Times New Roman" w:hAnsi="Times New Roman" w:cs="David"/>
      <w:noProof/>
      <w:sz w:val="24"/>
      <w:szCs w:val="24"/>
    </w:rPr>
  </w:style>
  <w:style w:type="paragraph" w:customStyle="1" w:styleId="70EACA479E94447D807C62CB23368C1B2">
    <w:name w:val="70EACA479E94447D807C62CB23368C1B2"/>
    <w:rsid w:val="00CF312B"/>
    <w:pPr>
      <w:bidi/>
      <w:spacing w:after="0" w:line="240" w:lineRule="auto"/>
    </w:pPr>
    <w:rPr>
      <w:rFonts w:ascii="Times New Roman" w:eastAsia="Times New Roman" w:hAnsi="Times New Roman" w:cs="David"/>
      <w:noProof/>
      <w:sz w:val="24"/>
      <w:szCs w:val="24"/>
    </w:rPr>
  </w:style>
  <w:style w:type="paragraph" w:customStyle="1" w:styleId="70EACA479E94447D807C62CB23368C1B3">
    <w:name w:val="70EACA479E94447D807C62CB23368C1B3"/>
    <w:rsid w:val="00CF312B"/>
    <w:pPr>
      <w:bidi/>
      <w:spacing w:after="0" w:line="240" w:lineRule="auto"/>
    </w:pPr>
    <w:rPr>
      <w:rFonts w:ascii="Times New Roman" w:eastAsia="Times New Roman" w:hAnsi="Times New Roman" w:cs="David"/>
      <w:noProof/>
      <w:sz w:val="24"/>
      <w:szCs w:val="24"/>
    </w:rPr>
  </w:style>
  <w:style w:type="paragraph" w:customStyle="1" w:styleId="70EACA479E94447D807C62CB23368C1B4">
    <w:name w:val="70EACA479E94447D807C62CB23368C1B4"/>
    <w:rsid w:val="00902842"/>
    <w:pPr>
      <w:bidi/>
      <w:spacing w:after="0" w:line="240" w:lineRule="auto"/>
    </w:pPr>
    <w:rPr>
      <w:rFonts w:ascii="Times New Roman" w:eastAsia="Times New Roman" w:hAnsi="Times New Roman" w:cs="David"/>
      <w:noProof/>
      <w:sz w:val="24"/>
      <w:szCs w:val="24"/>
    </w:rPr>
  </w:style>
  <w:style w:type="paragraph" w:customStyle="1" w:styleId="70EACA479E94447D807C62CB23368C1B5">
    <w:name w:val="70EACA479E94447D807C62CB23368C1B5"/>
    <w:rsid w:val="00902842"/>
    <w:pPr>
      <w:bidi/>
      <w:spacing w:after="0" w:line="240" w:lineRule="auto"/>
    </w:pPr>
    <w:rPr>
      <w:rFonts w:ascii="Times New Roman" w:eastAsia="Times New Roman" w:hAnsi="Times New Roman" w:cs="David"/>
      <w:noProof/>
      <w:sz w:val="24"/>
      <w:szCs w:val="24"/>
    </w:rPr>
  </w:style>
  <w:style w:type="paragraph" w:customStyle="1" w:styleId="70EACA479E94447D807C62CB23368C1B6">
    <w:name w:val="70EACA479E94447D807C62CB23368C1B6"/>
    <w:rsid w:val="004206D0"/>
    <w:pPr>
      <w:bidi/>
      <w:spacing w:after="0" w:line="240" w:lineRule="auto"/>
    </w:pPr>
    <w:rPr>
      <w:rFonts w:ascii="Times New Roman" w:eastAsia="Times New Roman" w:hAnsi="Times New Roman" w:cs="David"/>
      <w:noProof/>
      <w:sz w:val="24"/>
      <w:szCs w:val="24"/>
    </w:rPr>
  </w:style>
  <w:style w:type="paragraph" w:customStyle="1" w:styleId="70EACA479E94447D807C62CB23368C1B7">
    <w:name w:val="70EACA479E94447D807C62CB23368C1B7"/>
    <w:rsid w:val="0056562B"/>
    <w:pPr>
      <w:bidi/>
      <w:spacing w:after="0" w:line="240" w:lineRule="auto"/>
    </w:pPr>
    <w:rPr>
      <w:rFonts w:ascii="Times New Roman" w:eastAsia="Times New Roman" w:hAnsi="Times New Roman" w:cs="David"/>
      <w:noProof/>
      <w:sz w:val="24"/>
      <w:szCs w:val="24"/>
    </w:rPr>
  </w:style>
  <w:style w:type="paragraph" w:customStyle="1" w:styleId="70EACA479E94447D807C62CB23368C1B8">
    <w:name w:val="70EACA479E94447D807C62CB23368C1B8"/>
    <w:rsid w:val="0056562B"/>
    <w:pPr>
      <w:bidi/>
      <w:spacing w:after="0" w:line="240" w:lineRule="auto"/>
    </w:pPr>
    <w:rPr>
      <w:rFonts w:ascii="Times New Roman" w:eastAsia="Times New Roman" w:hAnsi="Times New Roman" w:cs="David"/>
      <w:noProof/>
      <w:sz w:val="24"/>
      <w:szCs w:val="24"/>
    </w:rPr>
  </w:style>
  <w:style w:type="paragraph" w:customStyle="1" w:styleId="70EACA479E94447D807C62CB23368C1B9">
    <w:name w:val="70EACA479E94447D807C62CB23368C1B9"/>
    <w:rsid w:val="008E0A19"/>
    <w:pPr>
      <w:bidi/>
      <w:spacing w:after="0" w:line="240" w:lineRule="auto"/>
    </w:pPr>
    <w:rPr>
      <w:rFonts w:ascii="Times New Roman" w:eastAsia="Times New Roman" w:hAnsi="Times New Roman" w:cs="David"/>
      <w:noProof/>
      <w:sz w:val="24"/>
      <w:szCs w:val="24"/>
    </w:rPr>
  </w:style>
  <w:style w:type="paragraph" w:customStyle="1" w:styleId="70EACA479E94447D807C62CB23368C1B10">
    <w:name w:val="70EACA479E94447D807C62CB23368C1B10"/>
    <w:rsid w:val="00C02050"/>
    <w:pPr>
      <w:bidi/>
      <w:spacing w:after="0" w:line="240" w:lineRule="auto"/>
    </w:pPr>
    <w:rPr>
      <w:rFonts w:ascii="Times New Roman" w:eastAsia="Times New Roman" w:hAnsi="Times New Roman" w:cs="David"/>
      <w:noProof/>
      <w:sz w:val="24"/>
      <w:szCs w:val="24"/>
    </w:rPr>
  </w:style>
  <w:style w:type="paragraph" w:customStyle="1" w:styleId="70EACA479E94447D807C62CB23368C1B11">
    <w:name w:val="70EACA479E94447D807C62CB23368C1B11"/>
    <w:rsid w:val="0093110E"/>
    <w:pPr>
      <w:bidi/>
      <w:spacing w:after="0" w:line="240" w:lineRule="auto"/>
    </w:pPr>
    <w:rPr>
      <w:rFonts w:ascii="Times New Roman" w:eastAsia="Times New Roman" w:hAnsi="Times New Roman" w:cs="David"/>
      <w:noProof/>
      <w:sz w:val="24"/>
      <w:szCs w:val="24"/>
    </w:rPr>
  </w:style>
  <w:style w:type="paragraph" w:customStyle="1" w:styleId="70EACA479E94447D807C62CB23368C1B12">
    <w:name w:val="70EACA479E94447D807C62CB23368C1B12"/>
    <w:rsid w:val="0093110E"/>
    <w:pPr>
      <w:bidi/>
      <w:spacing w:after="0" w:line="240" w:lineRule="auto"/>
    </w:pPr>
    <w:rPr>
      <w:rFonts w:ascii="Times New Roman" w:eastAsia="Times New Roman" w:hAnsi="Times New Roman" w:cs="David"/>
      <w:noProof/>
      <w:sz w:val="24"/>
      <w:szCs w:val="24"/>
    </w:rPr>
  </w:style>
  <w:style w:type="paragraph" w:customStyle="1" w:styleId="70EACA479E94447D807C62CB23368C1B13">
    <w:name w:val="70EACA479E94447D807C62CB23368C1B13"/>
    <w:rsid w:val="0077391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5125</Words>
  <Characters>25629</Characters>
  <Application>Microsoft Office Word</Application>
  <DocSecurity>0</DocSecurity>
  <Lines>213</Lines>
  <Paragraphs>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2023-05-31T06:05:00Z</cp:lastPrinted>
  <dcterms:created xsi:type="dcterms:W3CDTF">2023-06-01T11:51:00Z</dcterms:created>
  <dcterms:modified xsi:type="dcterms:W3CDTF">2023-06-01T11:51:00Z</dcterms:modified>
</cp:coreProperties>
</file>